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24ED" w14:textId="77777777" w:rsidR="00A22A34" w:rsidRDefault="00597F02" w:rsidP="00946A6A">
      <w:pPr>
        <w:jc w:val="center"/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14:paraId="5BCC6C17" w14:textId="77777777"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1582"/>
        <w:gridCol w:w="2263"/>
        <w:gridCol w:w="2559"/>
      </w:tblGrid>
      <w:tr w:rsidR="00597F02" w:rsidRPr="00ED115C" w14:paraId="4F4B0D3C" w14:textId="77777777" w:rsidTr="002549B1">
        <w:trPr>
          <w:cantSplit/>
          <w:trHeight w:val="1134"/>
        </w:trPr>
        <w:tc>
          <w:tcPr>
            <w:tcW w:w="1681" w:type="pct"/>
            <w:hideMark/>
          </w:tcPr>
          <w:p w14:paraId="4C5B9FF2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20" w:type="pct"/>
          </w:tcPr>
          <w:p w14:paraId="7213EED6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73" w:type="pct"/>
          </w:tcPr>
          <w:p w14:paraId="01BE857A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14:paraId="05134502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</w:t>
            </w:r>
            <w:r w:rsidR="00C370D2" w:rsidRPr="00DA36E2">
              <w:rPr>
                <w:b/>
                <w:sz w:val="20"/>
                <w:szCs w:val="20"/>
              </w:rPr>
              <w:t xml:space="preserve"> </w:t>
            </w:r>
            <w:r w:rsidRPr="00DA36E2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DA36E2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2F6975" w:rsidRPr="00AB4F67" w14:paraId="6F7AC563" w14:textId="77777777" w:rsidTr="00946A6A">
        <w:trPr>
          <w:trHeight w:val="228"/>
        </w:trPr>
        <w:tc>
          <w:tcPr>
            <w:tcW w:w="1681" w:type="pct"/>
            <w:hideMark/>
          </w:tcPr>
          <w:p w14:paraId="0D47876A" w14:textId="77777777" w:rsidR="002F6975" w:rsidRDefault="00F12194" w:rsidP="00F12194">
            <w:pPr>
              <w:jc w:val="both"/>
            </w:pPr>
            <w:r>
              <w:t xml:space="preserve">Analizzatore genetico mediante un sistema di elettroforesi a 4-capillari </w:t>
            </w:r>
            <w:proofErr w:type="spellStart"/>
            <w:r>
              <w:t>fluorescence-based</w:t>
            </w:r>
            <w:proofErr w:type="spellEnd"/>
            <w:r>
              <w:t xml:space="preserve"> utilizzato nell’ambito delle analisi genetiche, dotato di laser a lunga durata</w:t>
            </w:r>
          </w:p>
        </w:tc>
        <w:tc>
          <w:tcPr>
            <w:tcW w:w="820" w:type="pct"/>
          </w:tcPr>
          <w:p w14:paraId="0C22A2C9" w14:textId="77777777"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27CBB21E" w14:textId="77777777"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C7CEC1C" w14:textId="77777777"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2F6975" w:rsidRPr="00AB4F67" w14:paraId="0F447E56" w14:textId="77777777" w:rsidTr="00AB4F67">
        <w:trPr>
          <w:trHeight w:val="265"/>
        </w:trPr>
        <w:tc>
          <w:tcPr>
            <w:tcW w:w="1681" w:type="pct"/>
            <w:hideMark/>
          </w:tcPr>
          <w:p w14:paraId="53F3514A" w14:textId="45411299" w:rsidR="002F6975" w:rsidRDefault="00F12194" w:rsidP="00F12194">
            <w:pPr>
              <w:jc w:val="both"/>
            </w:pPr>
            <w:r>
              <w:t>Strumento dotato di un interfaccia touchscreen che consente di comandare lo stesso anche senza necessità di un computer collegato</w:t>
            </w:r>
            <w:r w:rsidR="007A2CBE">
              <w:t xml:space="preserve"> </w:t>
            </w:r>
            <w:r>
              <w:t xml:space="preserve">per la programmazione della </w:t>
            </w:r>
            <w:proofErr w:type="spellStart"/>
            <w:r>
              <w:t>run</w:t>
            </w:r>
            <w:proofErr w:type="spellEnd"/>
            <w:r>
              <w:t xml:space="preserve"> (creazione di </w:t>
            </w:r>
            <w:proofErr w:type="spellStart"/>
            <w:r>
              <w:t>Accaunt</w:t>
            </w:r>
            <w:proofErr w:type="spellEnd"/>
            <w:r>
              <w:t xml:space="preserve"> Utente in locali protetti da PIN, creazione protocolli di corsa con possibilità di caricare file di corsa da chiavetta USB,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20" w:type="pct"/>
          </w:tcPr>
          <w:p w14:paraId="38825422" w14:textId="77777777"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7AE2646E" w14:textId="77777777"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A33C61F" w14:textId="77777777" w:rsidR="002F6975" w:rsidRPr="00AB4F67" w:rsidRDefault="002F6975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2F6975" w:rsidRPr="00AB4F67" w14:paraId="0D602A8F" w14:textId="77777777" w:rsidTr="002549B1">
        <w:trPr>
          <w:trHeight w:val="296"/>
        </w:trPr>
        <w:tc>
          <w:tcPr>
            <w:tcW w:w="1681" w:type="pct"/>
            <w:hideMark/>
          </w:tcPr>
          <w:p w14:paraId="51AF725F" w14:textId="77777777" w:rsidR="002F6975" w:rsidRDefault="00F12194" w:rsidP="00891352">
            <w:pPr>
              <w:jc w:val="both"/>
            </w:pPr>
            <w:r>
              <w:t xml:space="preserve">Capacità di alloggiare 8-well strip </w:t>
            </w:r>
            <w:proofErr w:type="spellStart"/>
            <w:r>
              <w:t>tubes</w:t>
            </w:r>
            <w:proofErr w:type="spellEnd"/>
            <w:r>
              <w:t xml:space="preserve"> e/o 96 </w:t>
            </w:r>
            <w:proofErr w:type="spellStart"/>
            <w:r>
              <w:t>well</w:t>
            </w:r>
            <w:proofErr w:type="spellEnd"/>
            <w:r>
              <w:t xml:space="preserve"> standard </w:t>
            </w:r>
            <w:proofErr w:type="spellStart"/>
            <w:r>
              <w:t>plates</w:t>
            </w:r>
            <w:proofErr w:type="spellEnd"/>
            <w:r>
              <w:t xml:space="preserve"> a seconda della disponibilità di consumabili del laboratorio. I campioni devono essere prelevati e inseriti nei capillari </w:t>
            </w:r>
            <w:r w:rsidR="00891352">
              <w:t xml:space="preserve">per la corsa in modo del tutto </w:t>
            </w:r>
            <w:r w:rsidR="00540235">
              <w:t>automatico e senza alcun intervento da parte dell’operatore, evitando in tal modo possibili errori umani</w:t>
            </w:r>
          </w:p>
        </w:tc>
        <w:tc>
          <w:tcPr>
            <w:tcW w:w="820" w:type="pct"/>
          </w:tcPr>
          <w:p w14:paraId="52C38B24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32BDBBBF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33D855CB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14:paraId="28D5AFEA" w14:textId="77777777" w:rsidTr="002549B1">
        <w:trPr>
          <w:trHeight w:val="296"/>
        </w:trPr>
        <w:tc>
          <w:tcPr>
            <w:tcW w:w="1681" w:type="pct"/>
          </w:tcPr>
          <w:p w14:paraId="3D4D734F" w14:textId="5B6AD294" w:rsidR="002F6975" w:rsidRDefault="001C3C91" w:rsidP="001C3C91">
            <w:pPr>
              <w:jc w:val="both"/>
            </w:pPr>
            <w:r>
              <w:t xml:space="preserve">Il software dello strumento deve permettere il sequenziamento e analisi di frammenti nella stessa </w:t>
            </w:r>
            <w:proofErr w:type="spellStart"/>
            <w:r>
              <w:t>plate</w:t>
            </w:r>
            <w:proofErr w:type="spellEnd"/>
            <w:r>
              <w:t xml:space="preserve"> di corsa. Ciò consente di ridurre al minimo il caricamento parziale dello strumento, e di massimizzare l’ottimizzazione del tempo operatore</w:t>
            </w:r>
            <w:r w:rsidR="002F6975">
              <w:t xml:space="preserve"> </w:t>
            </w:r>
          </w:p>
        </w:tc>
        <w:tc>
          <w:tcPr>
            <w:tcW w:w="820" w:type="pct"/>
          </w:tcPr>
          <w:p w14:paraId="5F4D82DA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3BA1C747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866BFB7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14:paraId="5E64EDAF" w14:textId="77777777" w:rsidTr="002549B1">
        <w:trPr>
          <w:trHeight w:val="296"/>
        </w:trPr>
        <w:tc>
          <w:tcPr>
            <w:tcW w:w="1681" w:type="pct"/>
          </w:tcPr>
          <w:p w14:paraId="28CA7515" w14:textId="77777777" w:rsidR="002F6975" w:rsidRDefault="001C3C91" w:rsidP="001C3C91">
            <w:pPr>
              <w:jc w:val="both"/>
            </w:pPr>
            <w:r>
              <w:t xml:space="preserve">Possibilità di inserire combinazioni di 4/5 </w:t>
            </w:r>
            <w:proofErr w:type="spellStart"/>
            <w:r>
              <w:t>dye</w:t>
            </w:r>
            <w:proofErr w:type="spellEnd"/>
            <w:r>
              <w:t xml:space="preserve"> set e calibrazione spettrale automatica dello stesso</w:t>
            </w:r>
          </w:p>
        </w:tc>
        <w:tc>
          <w:tcPr>
            <w:tcW w:w="820" w:type="pct"/>
          </w:tcPr>
          <w:p w14:paraId="79FA6EA2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7732C0C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386D911E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</w:tbl>
    <w:p w14:paraId="5CAA8662" w14:textId="77777777" w:rsidR="007A2CBE" w:rsidRDefault="007A2CBE"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1582"/>
        <w:gridCol w:w="2263"/>
        <w:gridCol w:w="2559"/>
      </w:tblGrid>
      <w:tr w:rsidR="007A2CBE" w:rsidRPr="00ED115C" w14:paraId="6721B7E3" w14:textId="77777777" w:rsidTr="00F22F30">
        <w:trPr>
          <w:cantSplit/>
          <w:trHeight w:val="1134"/>
        </w:trPr>
        <w:tc>
          <w:tcPr>
            <w:tcW w:w="1681" w:type="pct"/>
            <w:hideMark/>
          </w:tcPr>
          <w:p w14:paraId="23839D09" w14:textId="77777777" w:rsidR="007A2CBE" w:rsidRPr="00ED115C" w:rsidRDefault="007A2CBE" w:rsidP="00F22F30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20" w:type="pct"/>
          </w:tcPr>
          <w:p w14:paraId="0B2C2A47" w14:textId="77777777" w:rsidR="007A2CBE" w:rsidRPr="00DA36E2" w:rsidRDefault="007A2CBE" w:rsidP="00F22F3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73" w:type="pct"/>
          </w:tcPr>
          <w:p w14:paraId="385EAEA0" w14:textId="77777777" w:rsidR="007A2CBE" w:rsidRPr="00DA36E2" w:rsidRDefault="007A2CBE" w:rsidP="00F22F3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14:paraId="235DF8E2" w14:textId="77777777" w:rsidR="007A2CBE" w:rsidRPr="00DA36E2" w:rsidRDefault="007A2CBE" w:rsidP="00F22F3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2F6975" w:rsidRPr="00AB4F67" w14:paraId="0C552C03" w14:textId="77777777" w:rsidTr="002549B1">
        <w:trPr>
          <w:trHeight w:val="296"/>
        </w:trPr>
        <w:tc>
          <w:tcPr>
            <w:tcW w:w="1681" w:type="pct"/>
          </w:tcPr>
          <w:p w14:paraId="60FF3ED8" w14:textId="0A0E2B94" w:rsidR="002F6975" w:rsidRDefault="001C3C91" w:rsidP="00D31BEC">
            <w:pPr>
              <w:jc w:val="both"/>
            </w:pPr>
            <w:r>
              <w:t xml:space="preserve">I consumabili necessari all’esecuzione delle corse di sequenziamento e analisi di frammenti devono essere inclusi in una cartuccia pronta all’uso. Ciò facilità il setup dello strumento da parte </w:t>
            </w:r>
            <w:r w:rsidR="007A2CBE">
              <w:t>dell’operatore e</w:t>
            </w:r>
            <w:r w:rsidR="00D31BEC">
              <w:t xml:space="preserve"> riduce al minimo i potenziali errori umani. Inoltre previene la cross contaminazione tra tipologie di applicazione differenti e permette </w:t>
            </w:r>
            <w:r w:rsidR="007A2CBE">
              <w:t>un’organizzazione</w:t>
            </w:r>
            <w:r w:rsidR="00D31BEC">
              <w:t xml:space="preserve"> del lavoro specifica per ciascun operatore. </w:t>
            </w:r>
            <w:r>
              <w:t xml:space="preserve"> </w:t>
            </w:r>
          </w:p>
        </w:tc>
        <w:tc>
          <w:tcPr>
            <w:tcW w:w="820" w:type="pct"/>
          </w:tcPr>
          <w:p w14:paraId="3B1AD05E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0EB86F35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48EFB8D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2F6975" w:rsidRPr="00AB4F67" w14:paraId="545A7162" w14:textId="77777777" w:rsidTr="002549B1">
        <w:trPr>
          <w:trHeight w:val="296"/>
        </w:trPr>
        <w:tc>
          <w:tcPr>
            <w:tcW w:w="1681" w:type="pct"/>
          </w:tcPr>
          <w:p w14:paraId="3A86361F" w14:textId="77777777" w:rsidR="002F6975" w:rsidRDefault="00D31BEC" w:rsidP="001C3C91">
            <w:pPr>
              <w:jc w:val="both"/>
            </w:pPr>
            <w:r>
              <w:t xml:space="preserve">La cartuccia deve essere contrassegnata da un’etichetta di riconoscimento che consente l’identificazione (serial </w:t>
            </w:r>
            <w:proofErr w:type="spellStart"/>
            <w:r>
              <w:t>number</w:t>
            </w:r>
            <w:proofErr w:type="spellEnd"/>
            <w:r>
              <w:t>, codice prodotto, numero di lotto, data di scadenza) e la tracciabilità dell’utilizzo dei consumabili inseriti nello strumento da parte del software di controllo senza alcun intervento manuale e senza errori</w:t>
            </w:r>
          </w:p>
        </w:tc>
        <w:tc>
          <w:tcPr>
            <w:tcW w:w="820" w:type="pct"/>
          </w:tcPr>
          <w:p w14:paraId="49D72498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5DA3B32F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6C1DF55A" w14:textId="77777777" w:rsidR="002F6975" w:rsidRPr="00AB4F67" w:rsidRDefault="002F6975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</w:tbl>
    <w:p w14:paraId="2CBCA7D3" w14:textId="77777777" w:rsidR="00597F02" w:rsidRDefault="00597F02" w:rsidP="00597F02">
      <w:pPr>
        <w:ind w:firstLine="284"/>
        <w:jc w:val="both"/>
        <w:rPr>
          <w:b/>
        </w:rPr>
      </w:pP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1C27" w14:textId="77777777" w:rsidR="009A6BB3" w:rsidRDefault="009A6BB3" w:rsidP="00885263">
      <w:r>
        <w:separator/>
      </w:r>
    </w:p>
  </w:endnote>
  <w:endnote w:type="continuationSeparator" w:id="0">
    <w:p w14:paraId="30A58E8B" w14:textId="77777777" w:rsidR="009A6BB3" w:rsidRDefault="009A6BB3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737729"/>
      <w:docPartObj>
        <w:docPartGallery w:val="Page Numbers (Bottom of Page)"/>
        <w:docPartUnique/>
      </w:docPartObj>
    </w:sdtPr>
    <w:sdtEndPr/>
    <w:sdtContent>
      <w:p w14:paraId="73533025" w14:textId="77777777" w:rsidR="001C3C91" w:rsidRDefault="009A6BB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6AEB9C" w14:textId="77777777" w:rsidR="001C3C91" w:rsidRDefault="001C3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6167" w14:textId="77777777" w:rsidR="009A6BB3" w:rsidRDefault="009A6BB3" w:rsidP="00885263">
      <w:r>
        <w:separator/>
      </w:r>
    </w:p>
  </w:footnote>
  <w:footnote w:type="continuationSeparator" w:id="0">
    <w:p w14:paraId="4E7B3633" w14:textId="77777777" w:rsidR="009A6BB3" w:rsidRDefault="009A6BB3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735C"/>
    <w:multiLevelType w:val="hybridMultilevel"/>
    <w:tmpl w:val="DE089E40"/>
    <w:lvl w:ilvl="0" w:tplc="EE98D5B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2652A"/>
    <w:multiLevelType w:val="hybridMultilevel"/>
    <w:tmpl w:val="B174431A"/>
    <w:lvl w:ilvl="0" w:tplc="41E8D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B126C"/>
    <w:multiLevelType w:val="hybridMultilevel"/>
    <w:tmpl w:val="53A68F32"/>
    <w:lvl w:ilvl="0" w:tplc="E34C71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86A6B"/>
    <w:multiLevelType w:val="hybridMultilevel"/>
    <w:tmpl w:val="27DA4172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627D3"/>
    <w:multiLevelType w:val="hybridMultilevel"/>
    <w:tmpl w:val="D8721E48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43147">
    <w:abstractNumId w:val="3"/>
  </w:num>
  <w:num w:numId="2" w16cid:durableId="549997944">
    <w:abstractNumId w:val="7"/>
  </w:num>
  <w:num w:numId="3" w16cid:durableId="566308101">
    <w:abstractNumId w:val="0"/>
  </w:num>
  <w:num w:numId="4" w16cid:durableId="1970160349">
    <w:abstractNumId w:val="9"/>
  </w:num>
  <w:num w:numId="5" w16cid:durableId="29309615">
    <w:abstractNumId w:val="6"/>
  </w:num>
  <w:num w:numId="6" w16cid:durableId="537814314">
    <w:abstractNumId w:val="8"/>
  </w:num>
  <w:num w:numId="7" w16cid:durableId="1047295988">
    <w:abstractNumId w:val="2"/>
  </w:num>
  <w:num w:numId="8" w16cid:durableId="1783187095">
    <w:abstractNumId w:val="1"/>
  </w:num>
  <w:num w:numId="9" w16cid:durableId="1156535953">
    <w:abstractNumId w:val="5"/>
  </w:num>
  <w:num w:numId="10" w16cid:durableId="2124492348">
    <w:abstractNumId w:val="11"/>
  </w:num>
  <w:num w:numId="11" w16cid:durableId="1776829703">
    <w:abstractNumId w:val="10"/>
  </w:num>
  <w:num w:numId="12" w16cid:durableId="1378579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02"/>
    <w:rsid w:val="0001360B"/>
    <w:rsid w:val="00035D86"/>
    <w:rsid w:val="000C044C"/>
    <w:rsid w:val="000C0E3C"/>
    <w:rsid w:val="00182804"/>
    <w:rsid w:val="001831AE"/>
    <w:rsid w:val="001A5539"/>
    <w:rsid w:val="001C3C91"/>
    <w:rsid w:val="001C690F"/>
    <w:rsid w:val="001D752D"/>
    <w:rsid w:val="001D7E80"/>
    <w:rsid w:val="00206AED"/>
    <w:rsid w:val="0025132E"/>
    <w:rsid w:val="002549B1"/>
    <w:rsid w:val="002B5117"/>
    <w:rsid w:val="002C03B7"/>
    <w:rsid w:val="002C4810"/>
    <w:rsid w:val="002F6975"/>
    <w:rsid w:val="0030621F"/>
    <w:rsid w:val="003116C4"/>
    <w:rsid w:val="0031635F"/>
    <w:rsid w:val="003534E1"/>
    <w:rsid w:val="003550AF"/>
    <w:rsid w:val="003662C2"/>
    <w:rsid w:val="003E1A83"/>
    <w:rsid w:val="004143D1"/>
    <w:rsid w:val="004230A1"/>
    <w:rsid w:val="004370A9"/>
    <w:rsid w:val="00475A41"/>
    <w:rsid w:val="004A4D27"/>
    <w:rsid w:val="004A7820"/>
    <w:rsid w:val="004E172A"/>
    <w:rsid w:val="00521496"/>
    <w:rsid w:val="005339A7"/>
    <w:rsid w:val="00540235"/>
    <w:rsid w:val="005649C5"/>
    <w:rsid w:val="00597F02"/>
    <w:rsid w:val="005B7440"/>
    <w:rsid w:val="005D2996"/>
    <w:rsid w:val="005E77BD"/>
    <w:rsid w:val="00665041"/>
    <w:rsid w:val="00672A92"/>
    <w:rsid w:val="00702CEE"/>
    <w:rsid w:val="0073204F"/>
    <w:rsid w:val="00764BF8"/>
    <w:rsid w:val="0079002B"/>
    <w:rsid w:val="007A2CBE"/>
    <w:rsid w:val="007D1ED1"/>
    <w:rsid w:val="00860007"/>
    <w:rsid w:val="008755C0"/>
    <w:rsid w:val="00885263"/>
    <w:rsid w:val="00891352"/>
    <w:rsid w:val="00896F88"/>
    <w:rsid w:val="00907DA6"/>
    <w:rsid w:val="00910CF4"/>
    <w:rsid w:val="00946A6A"/>
    <w:rsid w:val="009470A3"/>
    <w:rsid w:val="009A6BB3"/>
    <w:rsid w:val="009C230A"/>
    <w:rsid w:val="009C275F"/>
    <w:rsid w:val="009C3F77"/>
    <w:rsid w:val="00A22A34"/>
    <w:rsid w:val="00A43C89"/>
    <w:rsid w:val="00AA0110"/>
    <w:rsid w:val="00AB4F67"/>
    <w:rsid w:val="00B540EA"/>
    <w:rsid w:val="00BA048E"/>
    <w:rsid w:val="00BA7081"/>
    <w:rsid w:val="00BE473D"/>
    <w:rsid w:val="00BF31AA"/>
    <w:rsid w:val="00C1196A"/>
    <w:rsid w:val="00C370D2"/>
    <w:rsid w:val="00CC7C48"/>
    <w:rsid w:val="00D00723"/>
    <w:rsid w:val="00D31BEC"/>
    <w:rsid w:val="00D35FEB"/>
    <w:rsid w:val="00DA36E2"/>
    <w:rsid w:val="00DD2C1D"/>
    <w:rsid w:val="00DF3F39"/>
    <w:rsid w:val="00E12166"/>
    <w:rsid w:val="00E5167C"/>
    <w:rsid w:val="00ED115C"/>
    <w:rsid w:val="00EF479E"/>
    <w:rsid w:val="00F07151"/>
    <w:rsid w:val="00F12194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6AA4"/>
  <w15:docId w15:val="{BE84E0B2-31F5-4A11-917B-305B0EE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</cp:lastModifiedBy>
  <cp:revision>3</cp:revision>
  <cp:lastPrinted>2020-02-10T11:32:00Z</cp:lastPrinted>
  <dcterms:created xsi:type="dcterms:W3CDTF">2022-05-22T09:12:00Z</dcterms:created>
  <dcterms:modified xsi:type="dcterms:W3CDTF">2022-05-22T09:13:00Z</dcterms:modified>
</cp:coreProperties>
</file>