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determinato di Dirigente Medico </w:t>
      </w:r>
      <w:r w:rsidR="00906DF0">
        <w:rPr>
          <w:sz w:val="24"/>
          <w:szCs w:val="24"/>
        </w:rPr>
        <w:t>per l’U.O.C. di Nefrologia e Dialisi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D374F"/>
    <w:rsid w:val="003E1E5A"/>
    <w:rsid w:val="00404E54"/>
    <w:rsid w:val="00416E5C"/>
    <w:rsid w:val="0042415E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4956"/>
    <w:rsid w:val="00644B0F"/>
    <w:rsid w:val="006516C8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57901"/>
    <w:rsid w:val="00CA53B6"/>
    <w:rsid w:val="00CC6465"/>
    <w:rsid w:val="00CE4840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2CAE7-8725-4298-A2BB-902B0B8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2021-11-02T08:43:00Z</dcterms:created>
  <dcterms:modified xsi:type="dcterms:W3CDTF">2021-11-02T08:43:00Z</dcterms:modified>
</cp:coreProperties>
</file>