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determinato di Dirigente Medico </w:t>
      </w:r>
      <w:r w:rsidR="00FE69B0">
        <w:rPr>
          <w:sz w:val="24"/>
          <w:szCs w:val="24"/>
        </w:rPr>
        <w:t xml:space="preserve">per l’U.O.C. di </w:t>
      </w:r>
      <w:r w:rsidR="00A9064A">
        <w:rPr>
          <w:sz w:val="24"/>
          <w:szCs w:val="24"/>
        </w:rPr>
        <w:t>Radiologia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dell’articolo 13, comma 1,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26EAD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516C8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4689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064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1F82"/>
    <w:rsid w:val="00CE4840"/>
    <w:rsid w:val="00CF7AEC"/>
    <w:rsid w:val="00D26515"/>
    <w:rsid w:val="00D74E54"/>
    <w:rsid w:val="00D775F3"/>
    <w:rsid w:val="00DA05E9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E69B0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EA4DA-6413-47B3-952A-44C678A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2021-10-15T07:44:00Z</dcterms:created>
  <dcterms:modified xsi:type="dcterms:W3CDTF">2021-10-15T07:44:00Z</dcterms:modified>
</cp:coreProperties>
</file>