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Default="006D4893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>m</w:t>
      </w:r>
      <w:r w:rsidR="00C339A3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>anifest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177FAD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fornitura, in noleggio, </w:t>
      </w:r>
      <w:r w:rsidR="00702B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quinquennale, </w:t>
      </w:r>
      <w:r w:rsidR="00177FAD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</w:t>
      </w:r>
      <w:r w:rsidR="00D9067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sistemi completi </w:t>
      </w:r>
      <w:r w:rsidR="000D0B1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Laboratorio, </w:t>
      </w:r>
      <w:r w:rsidR="00177FAD" w:rsidRPr="00177FAD">
        <w:rPr>
          <w:rFonts w:ascii="Times New Roman" w:eastAsia="Times New Roman" w:hAnsi="Times New Roman"/>
          <w:b/>
          <w:sz w:val="24"/>
          <w:szCs w:val="24"/>
          <w:lang w:eastAsia="it-IT"/>
        </w:rPr>
        <w:t>comprensiva del servizio di manutenzione full risk</w:t>
      </w:r>
      <w:r w:rsidR="000D0B1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 del materiale di consumo</w:t>
      </w:r>
      <w:r w:rsidR="000249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="006D2EF2">
        <w:rPr>
          <w:rFonts w:ascii="Times New Roman" w:eastAsia="Times New Roman" w:hAnsi="Times New Roman"/>
          <w:b/>
          <w:sz w:val="24"/>
          <w:szCs w:val="24"/>
          <w:lang w:eastAsia="it-IT"/>
        </w:rPr>
        <w:t>occorrenti alla</w:t>
      </w:r>
      <w:r w:rsidR="000249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U.O.S.D. Laboratorio di Oncoematologia e Manipolazione </w:t>
      </w:r>
      <w:r w:rsidR="006D2EF2">
        <w:rPr>
          <w:rFonts w:ascii="Times New Roman" w:eastAsia="Times New Roman" w:hAnsi="Times New Roman"/>
          <w:b/>
          <w:sz w:val="24"/>
          <w:szCs w:val="24"/>
          <w:lang w:eastAsia="it-IT"/>
        </w:rPr>
        <w:t>Cellulare e</w:t>
      </w:r>
      <w:r w:rsidR="009E34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6D2EF2">
        <w:rPr>
          <w:rFonts w:ascii="Times New Roman" w:eastAsia="Times New Roman" w:hAnsi="Times New Roman"/>
          <w:b/>
          <w:sz w:val="24"/>
          <w:szCs w:val="24"/>
          <w:lang w:eastAsia="it-IT"/>
        </w:rPr>
        <w:t>Citogenetica P.O.</w:t>
      </w:r>
      <w:r w:rsidR="000249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Cervello</w:t>
      </w:r>
      <w:r w:rsidR="009E34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alla U.O.C.  di </w:t>
      </w:r>
      <w:r w:rsidR="006D2EF2">
        <w:rPr>
          <w:rFonts w:ascii="Times New Roman" w:eastAsia="Times New Roman" w:hAnsi="Times New Roman"/>
          <w:b/>
          <w:sz w:val="24"/>
          <w:szCs w:val="24"/>
          <w:lang w:eastAsia="it-IT"/>
        </w:rPr>
        <w:t>Medicina Trasfusionale</w:t>
      </w:r>
      <w:r w:rsidR="009E34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P.O. Cervello e P.O. Villa Sofia, alla U.O.C.  di Ematologia per le Malattie Rare del Sangue e degli </w:t>
      </w:r>
      <w:r w:rsidR="006D2EF2">
        <w:rPr>
          <w:rFonts w:ascii="Times New Roman" w:eastAsia="Times New Roman" w:hAnsi="Times New Roman"/>
          <w:b/>
          <w:sz w:val="24"/>
          <w:szCs w:val="24"/>
          <w:lang w:eastAsia="it-IT"/>
        </w:rPr>
        <w:t>Organi</w:t>
      </w:r>
      <w:r w:rsidR="009E34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Ematopoietici P.O. Cervello</w:t>
      </w:r>
    </w:p>
    <w:p w:rsidR="000D0B14" w:rsidRDefault="000D0B14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542EB" w:rsidRPr="00370362" w:rsidRDefault="003542EB" w:rsidP="003542E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3542EB" w:rsidRPr="00370362" w:rsidRDefault="003542EB" w:rsidP="003542E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3542EB" w:rsidRPr="00370362" w:rsidRDefault="003542EB" w:rsidP="003542E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3542EB" w:rsidRPr="00370362" w:rsidRDefault="003542EB" w:rsidP="003542E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3542E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OMUNICA </w:t>
      </w:r>
    </w:p>
    <w:p w:rsidR="006D2EF2" w:rsidRPr="006D2EF2" w:rsidRDefault="006D2EF2" w:rsidP="006D2EF2">
      <w:pPr>
        <w:spacing w:line="360" w:lineRule="exact"/>
        <w:rPr>
          <w:rFonts w:ascii="Times New Roman" w:hAnsi="Times New Roman"/>
          <w:sz w:val="24"/>
          <w:szCs w:val="24"/>
        </w:rPr>
      </w:pPr>
      <w:r w:rsidRPr="006D2EF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interessato a </w:t>
      </w:r>
      <w:r w:rsidRPr="006D2EF2">
        <w:rPr>
          <w:rFonts w:ascii="Times New Roman" w:hAnsi="Times New Roman"/>
          <w:sz w:val="24"/>
          <w:szCs w:val="24"/>
        </w:rPr>
        <w:t>partecipare alla gara di cui all’oggetto relativamente al/i seguente lotto/i:</w:t>
      </w:r>
    </w:p>
    <w:p w:rsidR="006D2EF2" w:rsidRDefault="006D2EF2" w:rsidP="00C25603">
      <w:pPr>
        <w:spacing w:line="360" w:lineRule="exact"/>
        <w:rPr>
          <w:rFonts w:ascii="Times New Roman" w:hAnsi="Times New Roman"/>
        </w:rPr>
      </w:pPr>
    </w:p>
    <w:tbl>
      <w:tblPr>
        <w:tblStyle w:val="Grigliatabella"/>
        <w:tblW w:w="10065" w:type="dxa"/>
        <w:tblInd w:w="108" w:type="dxa"/>
        <w:tblLook w:val="04A0"/>
      </w:tblPr>
      <w:tblGrid>
        <w:gridCol w:w="851"/>
        <w:gridCol w:w="1276"/>
        <w:gridCol w:w="7938"/>
      </w:tblGrid>
      <w:tr w:rsidR="006D2EF2" w:rsidTr="006D2EF2">
        <w:tc>
          <w:tcPr>
            <w:tcW w:w="851" w:type="dxa"/>
          </w:tcPr>
          <w:p w:rsidR="006D2EF2" w:rsidRPr="00FC353D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D2EF2" w:rsidRPr="00FC353D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FC353D">
              <w:rPr>
                <w:rFonts w:ascii="Times New Roman" w:hAnsi="Times New Roman"/>
                <w:b/>
              </w:rPr>
              <w:t>LOTTO</w:t>
            </w:r>
          </w:p>
        </w:tc>
        <w:tc>
          <w:tcPr>
            <w:tcW w:w="7938" w:type="dxa"/>
          </w:tcPr>
          <w:p w:rsidR="006D2EF2" w:rsidRPr="00FC353D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FC353D">
              <w:rPr>
                <w:rFonts w:ascii="Times New Roman" w:hAnsi="Times New Roman"/>
                <w:b/>
              </w:rPr>
              <w:t>DESCRIZIONE</w:t>
            </w:r>
            <w:r>
              <w:rPr>
                <w:rFonts w:ascii="Times New Roman" w:hAnsi="Times New Roman"/>
                <w:b/>
              </w:rPr>
              <w:t xml:space="preserve"> LOTTO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</w:tcPr>
          <w:p w:rsidR="006D2EF2" w:rsidRDefault="006D2EF2" w:rsidP="006D2EF2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Marcatori Oncoematologia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38" w:type="dxa"/>
          </w:tcPr>
          <w:p w:rsidR="006D2EF2" w:rsidRDefault="006D2EF2" w:rsidP="006D2EF2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Estrattore Acidi Nucleici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38" w:type="dxa"/>
          </w:tcPr>
          <w:p w:rsidR="006D2EF2" w:rsidRDefault="006D2EF2" w:rsidP="006D2EF2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Sistema completamente automatizzato per l’estrazione RNA ad alta efficienza</w:t>
            </w:r>
          </w:p>
        </w:tc>
      </w:tr>
      <w:tr w:rsidR="006D2EF2" w:rsidTr="00746F73">
        <w:tc>
          <w:tcPr>
            <w:tcW w:w="851" w:type="dxa"/>
          </w:tcPr>
          <w:p w:rsidR="006D2EF2" w:rsidRPr="00FC353D" w:rsidRDefault="006D2EF2" w:rsidP="00746F73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D2EF2" w:rsidRPr="00FC353D" w:rsidRDefault="006D2EF2" w:rsidP="00746F73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FC353D">
              <w:rPr>
                <w:rFonts w:ascii="Times New Roman" w:hAnsi="Times New Roman"/>
                <w:b/>
              </w:rPr>
              <w:t>LOTTO</w:t>
            </w:r>
          </w:p>
        </w:tc>
        <w:tc>
          <w:tcPr>
            <w:tcW w:w="7938" w:type="dxa"/>
          </w:tcPr>
          <w:p w:rsidR="006D2EF2" w:rsidRPr="00FC353D" w:rsidRDefault="006D2EF2" w:rsidP="00746F73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FC353D">
              <w:rPr>
                <w:rFonts w:ascii="Times New Roman" w:hAnsi="Times New Roman"/>
                <w:b/>
              </w:rPr>
              <w:t>DESCRIZIONE</w:t>
            </w:r>
            <w:r>
              <w:rPr>
                <w:rFonts w:ascii="Times New Roman" w:hAnsi="Times New Roman"/>
                <w:b/>
              </w:rPr>
              <w:t xml:space="preserve"> LOTTO</w:t>
            </w:r>
          </w:p>
        </w:tc>
      </w:tr>
      <w:tr w:rsidR="006D2EF2" w:rsidTr="006D2EF2">
        <w:trPr>
          <w:trHeight w:val="308"/>
        </w:trPr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38" w:type="dxa"/>
          </w:tcPr>
          <w:p w:rsidR="006D2EF2" w:rsidRDefault="006D2EF2" w:rsidP="006D2EF2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Preparatore automatico dei campioni per l’analisi del del cariotipo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38" w:type="dxa"/>
          </w:tcPr>
          <w:p w:rsidR="006D2EF2" w:rsidRPr="000249CB" w:rsidRDefault="006D2EF2" w:rsidP="006D2EF2">
            <w:pPr>
              <w:spacing w:after="240"/>
              <w:jc w:val="both"/>
              <w:rPr>
                <w:rFonts w:ascii="Times New Roman" w:hAnsi="Times New Roman"/>
              </w:rPr>
            </w:pPr>
            <w:r w:rsidRPr="000249CB">
              <w:rPr>
                <w:rFonts w:ascii="Times New Roman" w:hAnsi="Times New Roman"/>
              </w:rPr>
              <w:t>Piattaforma</w:t>
            </w:r>
            <w:r>
              <w:rPr>
                <w:rFonts w:ascii="Times New Roman" w:hAnsi="Times New Roman"/>
              </w:rPr>
              <w:t xml:space="preserve"> tecnologica per analisi Genetiche ad elevata processività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38" w:type="dxa"/>
          </w:tcPr>
          <w:p w:rsidR="006D2EF2" w:rsidRDefault="006D2EF2" w:rsidP="006D2EF2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Piattaforma tecnologica per profili di espressione ad elevata processività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38" w:type="dxa"/>
          </w:tcPr>
          <w:p w:rsidR="006D2EF2" w:rsidRDefault="006D2EF2" w:rsidP="006D2EF2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Citofluorimetria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38" w:type="dxa"/>
          </w:tcPr>
          <w:p w:rsidR="006D2EF2" w:rsidRPr="009E3401" w:rsidRDefault="006D2EF2" w:rsidP="006D2EF2">
            <w:pPr>
              <w:jc w:val="both"/>
              <w:rPr>
                <w:rFonts w:ascii="Times New Roman" w:hAnsi="Times New Roman"/>
              </w:rPr>
            </w:pPr>
            <w:r w:rsidRPr="009E3401">
              <w:rPr>
                <w:rFonts w:ascii="Times New Roman" w:hAnsi="Times New Roman"/>
              </w:rPr>
              <w:t>Sistema studio HLA mediante tecnologia LUMINEX 3D</w:t>
            </w:r>
          </w:p>
          <w:p w:rsidR="006D2EF2" w:rsidRDefault="006D2EF2" w:rsidP="006D2EF2">
            <w:pPr>
              <w:jc w:val="both"/>
              <w:rPr>
                <w:rFonts w:ascii="Times New Roman" w:hAnsi="Times New Roman"/>
              </w:rPr>
            </w:pPr>
            <w:r w:rsidRPr="009E3401">
              <w:rPr>
                <w:rFonts w:ascii="Times New Roman" w:hAnsi="Times New Roman"/>
              </w:rPr>
              <w:t>Typing HLA SSO ad alta definizione – Ricerca/identificazione alloanticorpi linfocitotossici</w:t>
            </w:r>
          </w:p>
        </w:tc>
      </w:tr>
      <w:tr w:rsidR="006D2EF2" w:rsidTr="006D2EF2">
        <w:trPr>
          <w:trHeight w:val="273"/>
        </w:trPr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38" w:type="dxa"/>
          </w:tcPr>
          <w:p w:rsidR="006D2EF2" w:rsidRPr="006D2EF2" w:rsidRDefault="006D2EF2" w:rsidP="006D2EF2">
            <w:pPr>
              <w:spacing w:after="240"/>
              <w:jc w:val="both"/>
              <w:rPr>
                <w:rFonts w:ascii="Times New Roman" w:hAnsi="Times New Roman"/>
                <w:color w:val="000000"/>
              </w:rPr>
            </w:pPr>
            <w:r w:rsidRPr="009E3401">
              <w:rPr>
                <w:rFonts w:ascii="Times New Roman" w:hAnsi="Times New Roman"/>
                <w:color w:val="000000"/>
              </w:rPr>
              <w:t>Sistema Citofluorimetria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38" w:type="dxa"/>
          </w:tcPr>
          <w:p w:rsidR="006D2EF2" w:rsidRPr="009E3401" w:rsidRDefault="006D2EF2" w:rsidP="006D2EF2">
            <w:pPr>
              <w:jc w:val="both"/>
              <w:rPr>
                <w:rFonts w:ascii="Times New Roman" w:hAnsi="Times New Roman"/>
              </w:rPr>
            </w:pPr>
            <w:r w:rsidRPr="009E3401">
              <w:rPr>
                <w:rFonts w:ascii="Times New Roman" w:hAnsi="Times New Roman"/>
              </w:rPr>
              <w:t xml:space="preserve">Sistema </w:t>
            </w:r>
            <w:r w:rsidRPr="009E3401">
              <w:rPr>
                <w:rFonts w:ascii="Times New Roman" w:hAnsi="Times New Roman"/>
                <w:color w:val="000000"/>
              </w:rPr>
              <w:t>Ricerca e identificazione di anticorpi anti-HLA fissanti il complemento (C3d)</w:t>
            </w:r>
            <w:r w:rsidRPr="009E3401">
              <w:rPr>
                <w:rFonts w:ascii="Times New Roman" w:hAnsi="Times New Roman"/>
              </w:rPr>
              <w:t xml:space="preserve"> e Typing HLA rapido</w:t>
            </w:r>
            <w:r w:rsidRPr="009E3401">
              <w:rPr>
                <w:rFonts w:ascii="Times New Roman" w:hAnsi="Times New Roman"/>
                <w:color w:val="000000"/>
              </w:rPr>
              <w:t xml:space="preserve"> </w:t>
            </w:r>
            <w:r w:rsidRPr="009E3401">
              <w:rPr>
                <w:rFonts w:ascii="Times New Roman" w:hAnsi="Times New Roman"/>
              </w:rPr>
              <w:t>mediante tecnologia LUMINEX</w:t>
            </w:r>
          </w:p>
          <w:p w:rsidR="006D2EF2" w:rsidRDefault="006D2EF2" w:rsidP="006D2EF2">
            <w:pPr>
              <w:jc w:val="both"/>
              <w:rPr>
                <w:rFonts w:ascii="Times New Roman" w:hAnsi="Times New Roman"/>
              </w:rPr>
            </w:pP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38" w:type="dxa"/>
          </w:tcPr>
          <w:p w:rsidR="006D2EF2" w:rsidRDefault="006D2EF2" w:rsidP="006D2E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Sistema per la validazione biologica di sierologia, virologia, chimica clinica delle sacche di sangue e/o Emocomponenti per il centro di qualificazione biologica dell’U.O.C. di </w:t>
            </w:r>
            <w:r w:rsidR="00D9067D">
              <w:rPr>
                <w:rFonts w:ascii="Times New Roman" w:hAnsi="Times New Roman"/>
              </w:rPr>
              <w:t>Medicina Trasfusionale</w:t>
            </w:r>
            <w:r>
              <w:rPr>
                <w:rFonts w:ascii="Times New Roman" w:hAnsi="Times New Roman"/>
              </w:rPr>
              <w:t xml:space="preserve"> del Presidio Ospedaliero Villa Sofia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38" w:type="dxa"/>
          </w:tcPr>
          <w:p w:rsidR="006D2EF2" w:rsidRPr="00C41CDC" w:rsidRDefault="006D2EF2" w:rsidP="006D2EF2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C41CDC">
              <w:rPr>
                <w:rFonts w:ascii="Times New Roman" w:hAnsi="Times New Roman"/>
              </w:rPr>
              <w:t xml:space="preserve">Analisi molecolare per trombofilia genetica ereditaria e farmacogenetica </w:t>
            </w:r>
          </w:p>
          <w:p w:rsidR="006D2EF2" w:rsidRDefault="006D2EF2" w:rsidP="006D2EF2">
            <w:pPr>
              <w:jc w:val="both"/>
              <w:rPr>
                <w:rFonts w:ascii="Times New Roman" w:hAnsi="Times New Roman"/>
              </w:rPr>
            </w:pP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938" w:type="dxa"/>
          </w:tcPr>
          <w:p w:rsidR="006D2EF2" w:rsidRPr="008B5BB5" w:rsidRDefault="006D2EF2" w:rsidP="006D2EF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8B5BB5">
              <w:rPr>
                <w:rFonts w:ascii="Times New Roman" w:hAnsi="Times New Roman"/>
              </w:rPr>
              <w:t xml:space="preserve">Service di un “Sistema per il riconoscimento univoco di operatori medici ed infermieri e dei pazienti da trasfondere”, per i due Servizi Trasfusionali </w:t>
            </w:r>
            <w:r w:rsidR="00D9067D" w:rsidRPr="008B5BB5">
              <w:rPr>
                <w:rFonts w:ascii="Times New Roman" w:hAnsi="Times New Roman"/>
              </w:rPr>
              <w:t>dell’A.O.R.</w:t>
            </w:r>
            <w:r w:rsidRPr="008B5BB5">
              <w:rPr>
                <w:rFonts w:ascii="Times New Roman" w:hAnsi="Times New Roman"/>
              </w:rPr>
              <w:t xml:space="preserve"> Villa Sofia-Cervello</w:t>
            </w:r>
          </w:p>
          <w:p w:rsidR="006D2EF2" w:rsidRDefault="006D2EF2" w:rsidP="006D2EF2">
            <w:pPr>
              <w:jc w:val="both"/>
              <w:rPr>
                <w:rFonts w:ascii="Times New Roman" w:hAnsi="Times New Roman"/>
              </w:rPr>
            </w:pP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938" w:type="dxa"/>
          </w:tcPr>
          <w:p w:rsidR="006D2EF2" w:rsidRDefault="006D2EF2" w:rsidP="006D2EF2">
            <w:pPr>
              <w:spacing w:after="120"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8B5BB5">
              <w:rPr>
                <w:rFonts w:ascii="Times New Roman" w:hAnsi="Times New Roman"/>
              </w:rPr>
              <w:t>ecnologia in micropiastra ad alta cadenza analitica per Tipizzazione e screening anticorpale in micropiastra donatori (idoneità) (Gruppo diretto e indiretto, Weak D, fenotipo Rh/Kell, Cellano, R.A.I.,Identificazione anticorpi) e screening su Donatori ed tracciabilità controllo gruppo sacche, nonché per secondo controllo su paziente nuovo non conosciuto, occasionalmente, per gli accertamenti sullo stato di immunizzazione dei pazienti di categorie e rischio trasfusionale (+ 2° livello test pre-trasfusionali su Pazienti di categorie e rischio Trasfusionale).</w:t>
            </w:r>
          </w:p>
        </w:tc>
      </w:tr>
      <w:tr w:rsidR="006D2EF2" w:rsidTr="006D2EF2">
        <w:tc>
          <w:tcPr>
            <w:tcW w:w="851" w:type="dxa"/>
          </w:tcPr>
          <w:p w:rsidR="006D2EF2" w:rsidRPr="006D2EF2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EF2">
              <w:rPr>
                <w:rFonts w:ascii="Times New Roman" w:hAnsi="Times New Roman"/>
                <w:b/>
                <w:sz w:val="28"/>
                <w:szCs w:val="28"/>
              </w:rPr>
              <w:sym w:font="Symbol" w:char="F08C"/>
            </w:r>
          </w:p>
        </w:tc>
        <w:tc>
          <w:tcPr>
            <w:tcW w:w="1276" w:type="dxa"/>
          </w:tcPr>
          <w:p w:rsidR="006D2EF2" w:rsidRPr="001C26C8" w:rsidRDefault="006D2EF2" w:rsidP="006D2EF2">
            <w:pPr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1C26C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938" w:type="dxa"/>
          </w:tcPr>
          <w:p w:rsidR="006D2EF2" w:rsidRDefault="006D2EF2" w:rsidP="006D2EF2">
            <w:pPr>
              <w:spacing w:after="120" w:line="276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8B5BB5">
              <w:rPr>
                <w:rFonts w:ascii="Times New Roman" w:hAnsi="Times New Roman"/>
              </w:rPr>
              <w:t>ecnologia di agglutinazione su colonna per Tipizzazione e screening anticorpale in colonna donatori (Donatori occasionali e periodici): Gruppo diretto e indiretto, Weak D, fenotipo Rh/Kell, Cellano, R.A.I. 3 cellule, Identificazione anticorpi, Test di coombs diretto e monospecifico, tipizzazione allargata fenotipo donatori e per gli accertamenti pre-trasfusionali di routine (Gruppo diretto e indiretto, Weak D, fenotipo Rh/Kell, Cellano, R.A.I. 3 cellule, Identificazione anticorpi a 37° e Temperatura Ambiente,ed enzima, Test di coombs diretto e monospecifico, tipizzazione allargata fenotipo paziente, prove di compatibilità a 37° e T.A , tipizzazione gravide e neonati, titolazioni anticorpi naturali ed irregolari.</w:t>
            </w:r>
          </w:p>
        </w:tc>
      </w:tr>
    </w:tbl>
    <w:p w:rsidR="00C25603" w:rsidRDefault="00C25603" w:rsidP="00C2560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C25603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C25603" w:rsidRPr="00D73597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25603" w:rsidRDefault="00C25603" w:rsidP="00C256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25603" w:rsidRPr="00D73597" w:rsidRDefault="00C25603" w:rsidP="00C256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Default="00C25603" w:rsidP="00C25603">
      <w:pPr>
        <w:rPr>
          <w:rFonts w:cs="Calibri"/>
          <w:b/>
        </w:rPr>
      </w:pP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03" w:rsidRPr="008F70B7" w:rsidRDefault="00C25603" w:rsidP="00C256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  <w:r w:rsidR="00700E3E">
        <w:rPr>
          <w:rFonts w:ascii="Times New Roman" w:hAnsi="Times New Roman"/>
          <w:sz w:val="24"/>
          <w:szCs w:val="24"/>
        </w:rPr>
        <w:t>:</w:t>
      </w: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Pr="00D73597" w:rsidRDefault="00C25603" w:rsidP="00C25603">
      <w:pPr>
        <w:spacing w:line="360" w:lineRule="exact"/>
        <w:rPr>
          <w:rFonts w:ascii="Times New Roman" w:hAnsi="Times New Roman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 xml:space="preserve">MATERIALE DI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Default="00C25603" w:rsidP="00C25603">
      <w:pPr>
        <w:spacing w:line="360" w:lineRule="auto"/>
        <w:jc w:val="both"/>
        <w:rPr>
          <w:rFonts w:cs="Calibri"/>
        </w:rPr>
      </w:pPr>
    </w:p>
    <w:p w:rsidR="00C25603" w:rsidRPr="008F70B7" w:rsidRDefault="00C25603" w:rsidP="00C256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25603" w:rsidRPr="00D73597" w:rsidRDefault="00C25603" w:rsidP="00C256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25603" w:rsidRPr="00D73597" w:rsidRDefault="00C25603" w:rsidP="00C256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C25603" w:rsidRPr="00370362" w:rsidRDefault="00C25603" w:rsidP="00C256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C25603" w:rsidRDefault="00C25603" w:rsidP="00C2560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25603" w:rsidRPr="00370362" w:rsidRDefault="00C25603" w:rsidP="00C256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5F371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63" w:rsidRDefault="00F97963" w:rsidP="00370362">
      <w:r>
        <w:separator/>
      </w:r>
    </w:p>
  </w:endnote>
  <w:endnote w:type="continuationSeparator" w:id="0">
    <w:p w:rsidR="00F97963" w:rsidRDefault="00F97963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800078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CD46F9">
      <w:rPr>
        <w:noProof/>
      </w:rPr>
      <w:t>4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63" w:rsidRDefault="00F97963" w:rsidP="00370362">
      <w:r>
        <w:separator/>
      </w:r>
    </w:p>
  </w:footnote>
  <w:footnote w:type="continuationSeparator" w:id="0">
    <w:p w:rsidR="00F97963" w:rsidRDefault="00F97963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13360"/>
    <w:rsid w:val="000237FD"/>
    <w:rsid w:val="000249CB"/>
    <w:rsid w:val="000639C8"/>
    <w:rsid w:val="000938EF"/>
    <w:rsid w:val="000D0B14"/>
    <w:rsid w:val="000D7B2D"/>
    <w:rsid w:val="00177FAD"/>
    <w:rsid w:val="00185A17"/>
    <w:rsid w:val="001915D5"/>
    <w:rsid w:val="001C26C8"/>
    <w:rsid w:val="001E0364"/>
    <w:rsid w:val="001F5CD1"/>
    <w:rsid w:val="00201E36"/>
    <w:rsid w:val="002404CA"/>
    <w:rsid w:val="00290441"/>
    <w:rsid w:val="002A185F"/>
    <w:rsid w:val="002C5DA4"/>
    <w:rsid w:val="002E0D47"/>
    <w:rsid w:val="00311CB0"/>
    <w:rsid w:val="00325F64"/>
    <w:rsid w:val="0032627A"/>
    <w:rsid w:val="00335395"/>
    <w:rsid w:val="003542EB"/>
    <w:rsid w:val="00370362"/>
    <w:rsid w:val="00397A4E"/>
    <w:rsid w:val="003C2403"/>
    <w:rsid w:val="003D7407"/>
    <w:rsid w:val="003F65DA"/>
    <w:rsid w:val="004006B7"/>
    <w:rsid w:val="0044128A"/>
    <w:rsid w:val="00445A09"/>
    <w:rsid w:val="00453571"/>
    <w:rsid w:val="00456346"/>
    <w:rsid w:val="00456383"/>
    <w:rsid w:val="00497444"/>
    <w:rsid w:val="004B087C"/>
    <w:rsid w:val="004B1C9B"/>
    <w:rsid w:val="004C182B"/>
    <w:rsid w:val="004F36C9"/>
    <w:rsid w:val="004F5536"/>
    <w:rsid w:val="00511A4C"/>
    <w:rsid w:val="00520B63"/>
    <w:rsid w:val="0052675D"/>
    <w:rsid w:val="00533E60"/>
    <w:rsid w:val="00535F39"/>
    <w:rsid w:val="005519BD"/>
    <w:rsid w:val="0055614B"/>
    <w:rsid w:val="00596818"/>
    <w:rsid w:val="005E080D"/>
    <w:rsid w:val="005E1051"/>
    <w:rsid w:val="005E4C9E"/>
    <w:rsid w:val="005E756C"/>
    <w:rsid w:val="005F371A"/>
    <w:rsid w:val="00601839"/>
    <w:rsid w:val="006060F4"/>
    <w:rsid w:val="006243BB"/>
    <w:rsid w:val="00654855"/>
    <w:rsid w:val="006645F9"/>
    <w:rsid w:val="00692FE5"/>
    <w:rsid w:val="00694EAA"/>
    <w:rsid w:val="006A1C0B"/>
    <w:rsid w:val="006A3EDA"/>
    <w:rsid w:val="006A5710"/>
    <w:rsid w:val="006C6F6F"/>
    <w:rsid w:val="006D2EF2"/>
    <w:rsid w:val="006D4893"/>
    <w:rsid w:val="006F2547"/>
    <w:rsid w:val="006F4701"/>
    <w:rsid w:val="00700E3E"/>
    <w:rsid w:val="00702BBD"/>
    <w:rsid w:val="00717DF7"/>
    <w:rsid w:val="007247D5"/>
    <w:rsid w:val="007266E0"/>
    <w:rsid w:val="00731CF7"/>
    <w:rsid w:val="00735BE4"/>
    <w:rsid w:val="00764A64"/>
    <w:rsid w:val="00795E3B"/>
    <w:rsid w:val="00797661"/>
    <w:rsid w:val="007B3BE4"/>
    <w:rsid w:val="007C2A8C"/>
    <w:rsid w:val="007D09BA"/>
    <w:rsid w:val="007D1584"/>
    <w:rsid w:val="007D578D"/>
    <w:rsid w:val="007D705E"/>
    <w:rsid w:val="00800078"/>
    <w:rsid w:val="00801017"/>
    <w:rsid w:val="00807363"/>
    <w:rsid w:val="0086052F"/>
    <w:rsid w:val="00874226"/>
    <w:rsid w:val="00874444"/>
    <w:rsid w:val="00886C56"/>
    <w:rsid w:val="008A70BF"/>
    <w:rsid w:val="008B3DF8"/>
    <w:rsid w:val="008B5BB5"/>
    <w:rsid w:val="008C4A25"/>
    <w:rsid w:val="00916DDA"/>
    <w:rsid w:val="009448BE"/>
    <w:rsid w:val="009719D7"/>
    <w:rsid w:val="00993035"/>
    <w:rsid w:val="009D79DF"/>
    <w:rsid w:val="009E3401"/>
    <w:rsid w:val="00A207C6"/>
    <w:rsid w:val="00A37D05"/>
    <w:rsid w:val="00A51C3D"/>
    <w:rsid w:val="00A61810"/>
    <w:rsid w:val="00A95A61"/>
    <w:rsid w:val="00AF20B8"/>
    <w:rsid w:val="00B05039"/>
    <w:rsid w:val="00B21572"/>
    <w:rsid w:val="00B32031"/>
    <w:rsid w:val="00B43EA3"/>
    <w:rsid w:val="00B47AF6"/>
    <w:rsid w:val="00BA4C92"/>
    <w:rsid w:val="00BF35BB"/>
    <w:rsid w:val="00C02CE8"/>
    <w:rsid w:val="00C03C45"/>
    <w:rsid w:val="00C159DC"/>
    <w:rsid w:val="00C178F5"/>
    <w:rsid w:val="00C207BD"/>
    <w:rsid w:val="00C25603"/>
    <w:rsid w:val="00C339A3"/>
    <w:rsid w:val="00C33D55"/>
    <w:rsid w:val="00C41CDC"/>
    <w:rsid w:val="00C57D26"/>
    <w:rsid w:val="00C705DC"/>
    <w:rsid w:val="00C926A1"/>
    <w:rsid w:val="00C976F2"/>
    <w:rsid w:val="00CD30F2"/>
    <w:rsid w:val="00CD46F9"/>
    <w:rsid w:val="00D31929"/>
    <w:rsid w:val="00D32906"/>
    <w:rsid w:val="00D36459"/>
    <w:rsid w:val="00D6053C"/>
    <w:rsid w:val="00D76533"/>
    <w:rsid w:val="00D9067D"/>
    <w:rsid w:val="00DB37FB"/>
    <w:rsid w:val="00DC26EE"/>
    <w:rsid w:val="00DF7C14"/>
    <w:rsid w:val="00E1120D"/>
    <w:rsid w:val="00E3390A"/>
    <w:rsid w:val="00E85531"/>
    <w:rsid w:val="00EC77CD"/>
    <w:rsid w:val="00EE7E72"/>
    <w:rsid w:val="00F07C2E"/>
    <w:rsid w:val="00F3661F"/>
    <w:rsid w:val="00F97963"/>
    <w:rsid w:val="00FA05CE"/>
    <w:rsid w:val="00FA691B"/>
    <w:rsid w:val="00FC353D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1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customStyle="1" w:styleId="numeropagina">
    <w:name w:val="numero pagina"/>
    <w:basedOn w:val="Normale"/>
    <w:next w:val="Normale"/>
    <w:rsid w:val="000D0B14"/>
    <w:rPr>
      <w:rFonts w:ascii="CG Times" w:eastAsia="Times New Roman" w:hAnsi="CG Times"/>
      <w:snapToGrid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FC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2021-08-24T06:14:00Z</dcterms:created>
  <dcterms:modified xsi:type="dcterms:W3CDTF">2021-08-24T06:14:00Z</dcterms:modified>
</cp:coreProperties>
</file>