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dichiarazioni mendaci, ai  sensi per gli effetti del D.P.R. n.. 445 del 28/12/2000,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determinato di Dirigente Medico </w:t>
      </w:r>
      <w:r w:rsidR="004F2528">
        <w:rPr>
          <w:sz w:val="24"/>
          <w:szCs w:val="24"/>
        </w:rPr>
        <w:t>di Medicina Interna</w:t>
      </w:r>
      <w:r>
        <w:rPr>
          <w:sz w:val="24"/>
          <w:szCs w:val="24"/>
        </w:rPr>
        <w:t xml:space="preserve"> o d</w:t>
      </w:r>
      <w:r w:rsidR="004F2528">
        <w:rPr>
          <w:sz w:val="24"/>
          <w:szCs w:val="24"/>
        </w:rPr>
        <w:t>isciplina equipollente o affine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 ai sensi dell’articolo 13, comma 1,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127D7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24FFB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E0350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E798E-B768-4350-AFB8-C2AFFD8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2021-03-12T12:55:00Z</dcterms:created>
  <dcterms:modified xsi:type="dcterms:W3CDTF">2021-03-12T12:55:00Z</dcterms:modified>
</cp:coreProperties>
</file>