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756C" w:rsidRDefault="0061756C" w:rsidP="004D4572">
      <w:pPr>
        <w:rPr>
          <w:rFonts w:ascii="Times New Roman" w:hAnsi="Times New Roman" w:cs="Times New Roman"/>
          <w:b/>
        </w:rPr>
      </w:pPr>
    </w:p>
    <w:p w:rsidR="0061756C" w:rsidRPr="004D4572" w:rsidRDefault="0061756C" w:rsidP="004D4572">
      <w:pPr>
        <w:jc w:val="both"/>
        <w:rPr>
          <w:b/>
        </w:rPr>
      </w:pPr>
      <w:r w:rsidRPr="00074951">
        <w:rPr>
          <w:b/>
        </w:rPr>
        <w:t>ASTA PUBBLICA PER L’AFFIDAMENTO DELLA FORNITURA TRIENNALE IN SOMMINISTRAZIONE DI AZOTO LIQUIDO E LA GESTIONE DEL SISTEMA DI STOCCAGGIO   DELLE CELLULE STAMINALI DEL LABORATORIO DI DIAGNOSTICA INTEGRATA  ONCOEMATOLOGIA E MANIPOLAZIONE CELLULARE DELL’AZIENDA OSPEDALIERA OSPEDALI RIUNITI VILLA SOFIA CERVELLO</w:t>
      </w:r>
      <w:r>
        <w:rPr>
          <w:b/>
        </w:rPr>
        <w:t>.</w:t>
      </w:r>
      <w:r w:rsidRPr="00074951">
        <w:rPr>
          <w:b/>
        </w:rPr>
        <w:t xml:space="preserve"> </w:t>
      </w:r>
      <w:r w:rsidR="004D4572">
        <w:rPr>
          <w:b/>
        </w:rPr>
        <w:t xml:space="preserve"> CODICE IDENTIFICATIVO GARA ANAC N.6877459 CIG.7242462CB3 </w:t>
      </w:r>
    </w:p>
    <w:p w:rsidR="0061756C" w:rsidRDefault="0061756C" w:rsidP="0061756C">
      <w:pPr>
        <w:jc w:val="center"/>
        <w:rPr>
          <w:rFonts w:ascii="Times New Roman" w:hAnsi="Times New Roman" w:cs="Times New Roman"/>
          <w:b/>
        </w:rPr>
      </w:pPr>
    </w:p>
    <w:p w:rsidR="0061756C" w:rsidRPr="0061756C" w:rsidRDefault="001B5570" w:rsidP="0061756C">
      <w:pPr>
        <w:jc w:val="center"/>
        <w:rPr>
          <w:rFonts w:ascii="Times New Roman" w:hAnsi="Times New Roman" w:cs="Times New Roman"/>
          <w:b/>
        </w:rPr>
      </w:pPr>
      <w:r>
        <w:rPr>
          <w:rFonts w:ascii="Times New Roman" w:hAnsi="Times New Roman" w:cs="Times New Roman"/>
          <w:b/>
        </w:rPr>
        <w:t>CHIARIMENTI ALLA DATA DEL  24</w:t>
      </w:r>
      <w:r w:rsidR="0061756C">
        <w:rPr>
          <w:rFonts w:ascii="Times New Roman" w:hAnsi="Times New Roman" w:cs="Times New Roman"/>
          <w:b/>
        </w:rPr>
        <w:t xml:space="preserve"> GENNAIO  2018 </w:t>
      </w:r>
    </w:p>
    <w:p w:rsidR="0061756C" w:rsidRDefault="0061756C">
      <w:pPr>
        <w:rPr>
          <w:b/>
          <w:i/>
        </w:rPr>
      </w:pPr>
    </w:p>
    <w:p w:rsidR="0061756C" w:rsidRDefault="0061756C">
      <w:pPr>
        <w:rPr>
          <w:b/>
          <w:i/>
        </w:rPr>
      </w:pPr>
    </w:p>
    <w:p w:rsidR="0061756C" w:rsidRDefault="0061756C">
      <w:pPr>
        <w:rPr>
          <w:b/>
          <w:i/>
        </w:rPr>
      </w:pPr>
      <w:r>
        <w:rPr>
          <w:noProof/>
          <w:lang w:eastAsia="it-IT"/>
        </w:rPr>
        <w:drawing>
          <wp:inline distT="0" distB="0" distL="0" distR="0">
            <wp:extent cx="6202048" cy="1066800"/>
            <wp:effectExtent l="19050" t="0" r="8252" b="0"/>
            <wp:docPr id="4"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6215588" cy="1069129"/>
                    </a:xfrm>
                    <a:prstGeom prst="rect">
                      <a:avLst/>
                    </a:prstGeom>
                    <a:noFill/>
                    <a:ln w="9525">
                      <a:noFill/>
                      <a:miter lim="800000"/>
                      <a:headEnd/>
                      <a:tailEnd/>
                    </a:ln>
                  </pic:spPr>
                </pic:pic>
              </a:graphicData>
            </a:graphic>
          </wp:inline>
        </w:drawing>
      </w:r>
    </w:p>
    <w:p w:rsidR="0061756C" w:rsidRDefault="0061756C">
      <w:pPr>
        <w:rPr>
          <w:b/>
          <w:i/>
        </w:rPr>
      </w:pPr>
    </w:p>
    <w:p w:rsidR="00A22E5A" w:rsidRDefault="00261457">
      <w:pPr>
        <w:rPr>
          <w:i/>
        </w:rPr>
      </w:pPr>
      <w:r w:rsidRPr="00F95FCD">
        <w:rPr>
          <w:b/>
          <w:i/>
        </w:rPr>
        <w:t>R</w:t>
      </w:r>
      <w:r w:rsidR="00F95FCD" w:rsidRPr="00F95FCD">
        <w:rPr>
          <w:b/>
          <w:i/>
        </w:rPr>
        <w:t xml:space="preserve">isposta 1) </w:t>
      </w:r>
      <w:r w:rsidR="0039373C" w:rsidRPr="00F95FCD">
        <w:rPr>
          <w:b/>
          <w:i/>
        </w:rPr>
        <w:t>:</w:t>
      </w:r>
      <w:r w:rsidR="0039373C" w:rsidRPr="00261457">
        <w:rPr>
          <w:i/>
        </w:rPr>
        <w:t xml:space="preserve">  </w:t>
      </w:r>
      <w:r w:rsidRPr="00261457">
        <w:rPr>
          <w:i/>
        </w:rPr>
        <w:t>Tutti i contenitori criogenici di stoccaggio sono di proprietà della biobanca e funzionano in fase liquida</w:t>
      </w:r>
      <w:r w:rsidR="0039373C" w:rsidRPr="00261457">
        <w:rPr>
          <w:i/>
        </w:rPr>
        <w:t xml:space="preserve">, </w:t>
      </w:r>
      <w:r w:rsidRPr="00261457">
        <w:rPr>
          <w:i/>
        </w:rPr>
        <w:t>le soglie di allarme e di livello possono essere modificate. L</w:t>
      </w:r>
      <w:r w:rsidR="0039373C" w:rsidRPr="00261457">
        <w:rPr>
          <w:i/>
        </w:rPr>
        <w:t xml:space="preserve">a ditta </w:t>
      </w:r>
      <w:r w:rsidRPr="00261457">
        <w:rPr>
          <w:i/>
        </w:rPr>
        <w:t xml:space="preserve">uscente non porterà via alcun contenitore. </w:t>
      </w:r>
    </w:p>
    <w:p w:rsidR="00F95FCD" w:rsidRPr="00F72CF9" w:rsidRDefault="00F95FCD">
      <w:pPr>
        <w:rPr>
          <w:b/>
          <w:i/>
        </w:rPr>
      </w:pPr>
      <w:r w:rsidRPr="00F72CF9">
        <w:rPr>
          <w:b/>
          <w:i/>
        </w:rPr>
        <w:t>Domanda 2):</w:t>
      </w:r>
    </w:p>
    <w:p w:rsidR="00261457" w:rsidRDefault="00261457" w:rsidP="00261457">
      <w:r>
        <w:rPr>
          <w:noProof/>
          <w:lang w:eastAsia="it-IT"/>
        </w:rPr>
        <w:drawing>
          <wp:inline distT="0" distB="0" distL="0" distR="0">
            <wp:extent cx="6120130" cy="2093068"/>
            <wp:effectExtent l="1905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6120130" cy="2093068"/>
                    </a:xfrm>
                    <a:prstGeom prst="rect">
                      <a:avLst/>
                    </a:prstGeom>
                    <a:noFill/>
                    <a:ln w="9525">
                      <a:noFill/>
                      <a:miter lim="800000"/>
                      <a:headEnd/>
                      <a:tailEnd/>
                    </a:ln>
                  </pic:spPr>
                </pic:pic>
              </a:graphicData>
            </a:graphic>
          </wp:inline>
        </w:drawing>
      </w:r>
    </w:p>
    <w:p w:rsidR="00261457" w:rsidRPr="00C62190" w:rsidRDefault="00261457" w:rsidP="00261457">
      <w:pPr>
        <w:rPr>
          <w:i/>
        </w:rPr>
      </w:pPr>
      <w:r w:rsidRPr="00F95FCD">
        <w:rPr>
          <w:b/>
          <w:i/>
        </w:rPr>
        <w:t>R</w:t>
      </w:r>
      <w:r w:rsidR="00F95FCD" w:rsidRPr="00F95FCD">
        <w:rPr>
          <w:b/>
          <w:i/>
        </w:rPr>
        <w:t>isposta 2)</w:t>
      </w:r>
      <w:r w:rsidRPr="00F95FCD">
        <w:rPr>
          <w:b/>
          <w:i/>
        </w:rPr>
        <w:t>:</w:t>
      </w:r>
      <w:r w:rsidRPr="00C62190">
        <w:rPr>
          <w:i/>
        </w:rPr>
        <w:t xml:space="preserve"> Saranno accettati accorgimenti con funzione analoga</w:t>
      </w:r>
      <w:r w:rsidR="00C62190">
        <w:rPr>
          <w:i/>
        </w:rPr>
        <w:t xml:space="preserve">. Esempio </w:t>
      </w:r>
      <w:r w:rsidRPr="00C62190">
        <w:rPr>
          <w:i/>
        </w:rPr>
        <w:t xml:space="preserve"> indicatore continuo del livello nel software gestionale se non presen</w:t>
      </w:r>
      <w:r w:rsidR="00C62190" w:rsidRPr="00C62190">
        <w:rPr>
          <w:i/>
        </w:rPr>
        <w:t xml:space="preserve">te nel display del contenitore  e </w:t>
      </w:r>
      <w:r w:rsidRPr="00C62190">
        <w:rPr>
          <w:i/>
        </w:rPr>
        <w:t xml:space="preserve"> sistema di sicurezza </w:t>
      </w:r>
      <w:r w:rsidR="00C62190" w:rsidRPr="00C62190">
        <w:rPr>
          <w:i/>
        </w:rPr>
        <w:t>antitracimazione (sul contenitore o sul software gestionale)</w:t>
      </w:r>
    </w:p>
    <w:p w:rsidR="00C62190" w:rsidRPr="00F72CF9" w:rsidRDefault="00F95FCD" w:rsidP="00261457">
      <w:pPr>
        <w:rPr>
          <w:b/>
        </w:rPr>
      </w:pPr>
      <w:r w:rsidRPr="00F72CF9">
        <w:rPr>
          <w:b/>
        </w:rPr>
        <w:lastRenderedPageBreak/>
        <w:t>Domanda 3):</w:t>
      </w:r>
    </w:p>
    <w:p w:rsidR="00C62190" w:rsidRDefault="00C62190" w:rsidP="00261457">
      <w:r>
        <w:rPr>
          <w:noProof/>
          <w:lang w:eastAsia="it-IT"/>
        </w:rPr>
        <w:drawing>
          <wp:inline distT="0" distB="0" distL="0" distR="0">
            <wp:extent cx="6120130" cy="1095528"/>
            <wp:effectExtent l="1905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6120130" cy="1095528"/>
                    </a:xfrm>
                    <a:prstGeom prst="rect">
                      <a:avLst/>
                    </a:prstGeom>
                    <a:noFill/>
                    <a:ln w="9525">
                      <a:noFill/>
                      <a:miter lim="800000"/>
                      <a:headEnd/>
                      <a:tailEnd/>
                    </a:ln>
                  </pic:spPr>
                </pic:pic>
              </a:graphicData>
            </a:graphic>
          </wp:inline>
        </w:drawing>
      </w:r>
    </w:p>
    <w:p w:rsidR="00C62190" w:rsidRDefault="00C62190">
      <w:r w:rsidRPr="00F95FCD">
        <w:rPr>
          <w:b/>
        </w:rPr>
        <w:t>R</w:t>
      </w:r>
      <w:r w:rsidR="00F95FCD" w:rsidRPr="00F95FCD">
        <w:rPr>
          <w:b/>
        </w:rPr>
        <w:t>isposta 3)</w:t>
      </w:r>
      <w:r w:rsidRPr="00F95FCD">
        <w:rPr>
          <w:b/>
        </w:rPr>
        <w:t>:</w:t>
      </w:r>
      <w:r>
        <w:t xml:space="preserve"> Il piano operativo che si intende proporre ala ditta aggiudicataria prevede la movimentazione di un singolo  contenitore di stoccaggio correttamente identificato  contenente le unità di HPC di tutti i pazienti ricoverati presso la UOSD Trapianto di Midollo Osseo in attesa di trapianto e di tutti i pazienti presenti nella lista di attesa , a breve e medio termine.</w:t>
      </w:r>
    </w:p>
    <w:p w:rsidR="00522AD7" w:rsidRDefault="00F95FCD">
      <w:r w:rsidRPr="004D1BA7">
        <w:rPr>
          <w:b/>
        </w:rPr>
        <w:t>Domanda</w:t>
      </w:r>
      <w:r w:rsidR="00164C95" w:rsidRPr="004D1BA7">
        <w:rPr>
          <w:b/>
        </w:rPr>
        <w:t xml:space="preserve"> 4)</w:t>
      </w:r>
      <w:r w:rsidRPr="004D1BA7">
        <w:rPr>
          <w:b/>
        </w:rPr>
        <w:t>:</w:t>
      </w:r>
      <w:r>
        <w:t xml:space="preserve"> Nel Disciplinare di gara all’art.18 “Costituzione del Plico “ è indicato che la busta A- Documentazione dovrà contenere il DGUE redatto “ sulla scorta del modello allegato  al presente disciplinare” ma tra i documenti  di gara scaricati dal Vs. sito  internet  non c’è il DGUE;</w:t>
      </w:r>
    </w:p>
    <w:p w:rsidR="00F95FCD" w:rsidRDefault="00F95FCD">
      <w:r w:rsidRPr="004D1BA7">
        <w:rPr>
          <w:b/>
        </w:rPr>
        <w:t xml:space="preserve">Risposta </w:t>
      </w:r>
      <w:r w:rsidR="00164C95" w:rsidRPr="004D1BA7">
        <w:rPr>
          <w:b/>
        </w:rPr>
        <w:t xml:space="preserve"> 4)</w:t>
      </w:r>
      <w:r w:rsidRPr="004D1BA7">
        <w:rPr>
          <w:b/>
        </w:rPr>
        <w:t>:</w:t>
      </w:r>
      <w:r w:rsidR="00164C95">
        <w:t xml:space="preserve">  si</w:t>
      </w:r>
      <w:r w:rsidR="004D1BA7">
        <w:t>, gli Operatori Economici possono scaricare  il modello dai siti autorizzati;</w:t>
      </w:r>
    </w:p>
    <w:p w:rsidR="004D1BA7" w:rsidRPr="004D1BA7" w:rsidRDefault="004D1BA7">
      <w:r w:rsidRPr="004D1BA7">
        <w:rPr>
          <w:b/>
        </w:rPr>
        <w:t xml:space="preserve">Domanda 5): </w:t>
      </w:r>
      <w:r w:rsidRPr="004D1BA7">
        <w:t>Anche per l’Offerta Economica, “Da compilare esclusivamente tramite la scheda allegata si riscontra  il problema di non avere trovato  tra gli allegati questo modello “</w:t>
      </w:r>
    </w:p>
    <w:p w:rsidR="004D1BA7" w:rsidRPr="00895A08" w:rsidRDefault="004D1BA7">
      <w:r>
        <w:rPr>
          <w:b/>
        </w:rPr>
        <w:t>Risposta 5)</w:t>
      </w:r>
      <w:r w:rsidR="00F0388E">
        <w:rPr>
          <w:b/>
        </w:rPr>
        <w:t>:</w:t>
      </w:r>
      <w:r>
        <w:rPr>
          <w:b/>
        </w:rPr>
        <w:t xml:space="preserve"> </w:t>
      </w:r>
      <w:r w:rsidR="00895A08" w:rsidRPr="00895A08">
        <w:t xml:space="preserve">Anche in questo caso, Gli Operatori Economici possono utilizzare un proprio schema di Offerta,  purchè  riporti tutti i dati </w:t>
      </w:r>
      <w:r w:rsidR="007F1E13">
        <w:t>richiesti nei documenti di gara e dai chiarimenti pubblicati</w:t>
      </w:r>
      <w:r w:rsidR="00895A08" w:rsidRPr="00895A08">
        <w:t xml:space="preserve">. </w:t>
      </w:r>
    </w:p>
    <w:p w:rsidR="00C74B92" w:rsidRDefault="00FE0CBA" w:rsidP="00940E62">
      <w:pPr>
        <w:jc w:val="both"/>
      </w:pPr>
      <w:r w:rsidRPr="00FE0CBA">
        <w:rPr>
          <w:b/>
        </w:rPr>
        <w:t>Domanda 6)</w:t>
      </w:r>
      <w:r w:rsidR="00F0388E">
        <w:rPr>
          <w:b/>
        </w:rPr>
        <w:t>:</w:t>
      </w:r>
      <w:r w:rsidRPr="00FE0CBA">
        <w:rPr>
          <w:b/>
        </w:rPr>
        <w:t xml:space="preserve"> </w:t>
      </w:r>
      <w:r w:rsidRPr="00940E62">
        <w:t>in virtù delle disposizioni del decreto correttivo al codice appalti non costituiscono sub</w:t>
      </w:r>
      <w:r w:rsidR="00940E62">
        <w:t>a</w:t>
      </w:r>
      <w:r w:rsidRPr="00940E62">
        <w:t>ppalto  le prestazioni rese in favore</w:t>
      </w:r>
      <w:r w:rsidR="00940E62">
        <w:t xml:space="preserve"> dei soggetti affidatari in forza di contratti continuativi di cooperazione, servizio e/o fornitura sottoscritti in epoca anteriore all’indizione della procedura  finalizzata all’esecuzione dell’appalto.</w:t>
      </w:r>
      <w:r w:rsidR="00D92430">
        <w:t xml:space="preserve"> A tal proposito la ns. società ha in corso accordi quadro  con Aziende di trasporto, con durata a tempo indeterminato</w:t>
      </w:r>
      <w:r w:rsidR="00726AD2">
        <w:t xml:space="preserve">, stipulati antecedentemente la data di pubblicazione della presente procedura, per attività di trasporto consegna e travaso dei gas allo stato liquido e gassoso. </w:t>
      </w:r>
      <w:r w:rsidR="00F0388E">
        <w:t xml:space="preserve"> Si chiede conferma, alla luce delle disposizioni normative di cui sopra, tali ditte non debbano essere indicate nella terna dei subappaltator, in quanto le attività da esse svolte in forza dei sopra citati contratti  non costituiscono subappalto.</w:t>
      </w:r>
    </w:p>
    <w:p w:rsidR="00F0388E" w:rsidRPr="003D40B3" w:rsidRDefault="00F0388E" w:rsidP="00940E62">
      <w:pPr>
        <w:jc w:val="both"/>
      </w:pPr>
      <w:r w:rsidRPr="00F0388E">
        <w:rPr>
          <w:b/>
        </w:rPr>
        <w:t>Risposta 6)</w:t>
      </w:r>
      <w:r>
        <w:rPr>
          <w:b/>
        </w:rPr>
        <w:t xml:space="preserve">: </w:t>
      </w:r>
      <w:r w:rsidR="003D40B3" w:rsidRPr="003D40B3">
        <w:t>Si condivide che non costituiscono subappalto</w:t>
      </w:r>
      <w:r w:rsidR="002D03A6">
        <w:t>.</w:t>
      </w:r>
      <w:r w:rsidRPr="003D40B3">
        <w:t xml:space="preserve"> </w:t>
      </w:r>
    </w:p>
    <w:sectPr w:rsidR="00F0388E" w:rsidRPr="003D40B3" w:rsidSect="00A22E5A">
      <w:headerReference w:type="default" r:id="rId9"/>
      <w:footerReference w:type="default" r:id="rId10"/>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58A6" w:rsidRDefault="002858A6" w:rsidP="00F95FCD">
      <w:pPr>
        <w:spacing w:after="0" w:line="240" w:lineRule="auto"/>
      </w:pPr>
      <w:r>
        <w:separator/>
      </w:r>
    </w:p>
  </w:endnote>
  <w:endnote w:type="continuationSeparator" w:id="1">
    <w:p w:rsidR="002858A6" w:rsidRDefault="002858A6" w:rsidP="00F95F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63687"/>
      <w:docPartObj>
        <w:docPartGallery w:val="Page Numbers (Bottom of Page)"/>
        <w:docPartUnique/>
      </w:docPartObj>
    </w:sdtPr>
    <w:sdtContent>
      <w:p w:rsidR="0061756C" w:rsidRDefault="00AA66A0">
        <w:pPr>
          <w:pStyle w:val="Pidipagina"/>
          <w:jc w:val="right"/>
        </w:pPr>
        <w:fldSimple w:instr=" PAGE   \* MERGEFORMAT ">
          <w:r w:rsidR="001B5570">
            <w:rPr>
              <w:noProof/>
            </w:rPr>
            <w:t>1</w:t>
          </w:r>
        </w:fldSimple>
      </w:p>
    </w:sdtContent>
  </w:sdt>
  <w:p w:rsidR="0061756C" w:rsidRDefault="0061756C">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58A6" w:rsidRDefault="002858A6" w:rsidP="00F95FCD">
      <w:pPr>
        <w:spacing w:after="0" w:line="240" w:lineRule="auto"/>
      </w:pPr>
      <w:r>
        <w:separator/>
      </w:r>
    </w:p>
  </w:footnote>
  <w:footnote w:type="continuationSeparator" w:id="1">
    <w:p w:rsidR="002858A6" w:rsidRDefault="002858A6" w:rsidP="00F95FC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5FCD" w:rsidRDefault="00F95FCD">
    <w:pPr>
      <w:pStyle w:val="Intestazione"/>
    </w:pPr>
  </w:p>
  <w:p w:rsidR="00F95FCD" w:rsidRDefault="00F95FCD">
    <w:pPr>
      <w:pStyle w:val="Intestazione"/>
    </w:pPr>
  </w:p>
  <w:p w:rsidR="00F95FCD" w:rsidRDefault="00F95FCD">
    <w:pPr>
      <w:pStyle w:val="Intestazione"/>
    </w:pPr>
  </w:p>
  <w:p w:rsidR="00F95FCD" w:rsidRDefault="00F95FCD">
    <w:pPr>
      <w:pStyle w:val="Intestazione"/>
    </w:pPr>
  </w:p>
  <w:p w:rsidR="00F95FCD" w:rsidRDefault="00F95FCD">
    <w:pPr>
      <w:pStyle w:val="Intestazione"/>
    </w:pPr>
  </w:p>
  <w:p w:rsidR="00F95FCD" w:rsidRDefault="00F95FCD">
    <w:pPr>
      <w:pStyle w:val="Intestazione"/>
    </w:pPr>
  </w:p>
  <w:p w:rsidR="00F95FCD" w:rsidRDefault="00F95FCD">
    <w:pPr>
      <w:pStyle w:val="Intestazione"/>
    </w:pPr>
  </w:p>
  <w:p w:rsidR="00F95FCD" w:rsidRDefault="00F95FCD">
    <w:pPr>
      <w:pStyle w:val="Intestazion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0"/>
    <w:footnote w:id="1"/>
  </w:footnotePr>
  <w:endnotePr>
    <w:endnote w:id="0"/>
    <w:endnote w:id="1"/>
  </w:endnotePr>
  <w:compat/>
  <w:rsids>
    <w:rsidRoot w:val="006D4B63"/>
    <w:rsid w:val="000279C7"/>
    <w:rsid w:val="00164C95"/>
    <w:rsid w:val="001B5570"/>
    <w:rsid w:val="00261457"/>
    <w:rsid w:val="00267807"/>
    <w:rsid w:val="002858A6"/>
    <w:rsid w:val="002B6405"/>
    <w:rsid w:val="002D03A6"/>
    <w:rsid w:val="0039373C"/>
    <w:rsid w:val="003D40B3"/>
    <w:rsid w:val="004A5732"/>
    <w:rsid w:val="004D1BA7"/>
    <w:rsid w:val="004D4572"/>
    <w:rsid w:val="00522AD7"/>
    <w:rsid w:val="005444B7"/>
    <w:rsid w:val="0061756C"/>
    <w:rsid w:val="006D4B63"/>
    <w:rsid w:val="006F58D9"/>
    <w:rsid w:val="00726AD2"/>
    <w:rsid w:val="0076035F"/>
    <w:rsid w:val="007F1E13"/>
    <w:rsid w:val="00891169"/>
    <w:rsid w:val="00895A08"/>
    <w:rsid w:val="00940E62"/>
    <w:rsid w:val="00A162D3"/>
    <w:rsid w:val="00A22E5A"/>
    <w:rsid w:val="00A93011"/>
    <w:rsid w:val="00AA66A0"/>
    <w:rsid w:val="00C62190"/>
    <w:rsid w:val="00C74B92"/>
    <w:rsid w:val="00CA11C9"/>
    <w:rsid w:val="00D2294F"/>
    <w:rsid w:val="00D92430"/>
    <w:rsid w:val="00E4508E"/>
    <w:rsid w:val="00EE3215"/>
    <w:rsid w:val="00F0388E"/>
    <w:rsid w:val="00F72CF9"/>
    <w:rsid w:val="00F95FCD"/>
    <w:rsid w:val="00FE0CB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22E5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26145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457"/>
    <w:rPr>
      <w:rFonts w:ascii="Tahoma" w:hAnsi="Tahoma" w:cs="Tahoma"/>
      <w:sz w:val="16"/>
      <w:szCs w:val="16"/>
    </w:rPr>
  </w:style>
  <w:style w:type="paragraph" w:styleId="Intestazione">
    <w:name w:val="header"/>
    <w:basedOn w:val="Normale"/>
    <w:link w:val="IntestazioneCarattere"/>
    <w:uiPriority w:val="99"/>
    <w:semiHidden/>
    <w:unhideWhenUsed/>
    <w:rsid w:val="00F95FC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F95FCD"/>
  </w:style>
  <w:style w:type="paragraph" w:styleId="Pidipagina">
    <w:name w:val="footer"/>
    <w:basedOn w:val="Normale"/>
    <w:link w:val="PidipaginaCarattere"/>
    <w:uiPriority w:val="99"/>
    <w:unhideWhenUsed/>
    <w:rsid w:val="00F95FC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5FC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webSettings" Target="webSettings.xml"/><Relationship Id="rId7" Type="http://schemas.openxmlformats.org/officeDocument/2006/relationships/image" Target="media/image2.em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Pages>
  <Words>451</Words>
  <Characters>2573</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sdigangi</cp:lastModifiedBy>
  <cp:revision>42</cp:revision>
  <dcterms:created xsi:type="dcterms:W3CDTF">2018-01-22T16:52:00Z</dcterms:created>
  <dcterms:modified xsi:type="dcterms:W3CDTF">2018-01-24T07:57:00Z</dcterms:modified>
</cp:coreProperties>
</file>