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514841">
        <w:rPr>
          <w:rFonts w:ascii="Verdana" w:hAnsi="Verdana" w:cs="Verdana"/>
        </w:rPr>
        <w:t xml:space="preserve">ed i partecipanti alla gara per la fornitura di un sistema di valutazione definito media </w:t>
      </w:r>
      <w:proofErr w:type="spellStart"/>
      <w:r w:rsidR="00514841">
        <w:rPr>
          <w:rFonts w:ascii="Verdana" w:hAnsi="Verdana" w:cs="Verdana"/>
        </w:rPr>
        <w:t>Fill</w:t>
      </w:r>
      <w:proofErr w:type="spellEnd"/>
      <w:r w:rsidR="00514841">
        <w:rPr>
          <w:rFonts w:ascii="Verdana" w:hAnsi="Verdana" w:cs="Verdana"/>
        </w:rPr>
        <w:t xml:space="preserve"> per tre determinazioni analisi microbiologica inclusa per ottemperare alle norme di buona preparazione dei radio farmaci con le procedure in asepsi mediante il sistema di valutazione in oggetto (almeno 2 volte/anno) per gli operatori TSRM in medicina nucleare.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lastRenderedPageBreak/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7C204E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4E" w:rsidRDefault="007C204E" w:rsidP="0071397A">
      <w:r>
        <w:separator/>
      </w:r>
    </w:p>
  </w:endnote>
  <w:endnote w:type="continuationSeparator" w:id="0">
    <w:p w:rsidR="007C204E" w:rsidRDefault="007C204E" w:rsidP="0071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71397A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7C204E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4E" w:rsidRDefault="007C204E" w:rsidP="0071397A">
      <w:r>
        <w:separator/>
      </w:r>
    </w:p>
  </w:footnote>
  <w:footnote w:type="continuationSeparator" w:id="0">
    <w:p w:rsidR="007C204E" w:rsidRDefault="007C204E" w:rsidP="0071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5148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71397A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71397A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43B53"/>
    <w:rsid w:val="00514841"/>
    <w:rsid w:val="00560E0B"/>
    <w:rsid w:val="0071397A"/>
    <w:rsid w:val="007C204E"/>
    <w:rsid w:val="00B315BD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2016-06-08T07:43:00Z</dcterms:created>
  <dcterms:modified xsi:type="dcterms:W3CDTF">2017-01-26T10:47:00Z</dcterms:modified>
</cp:coreProperties>
</file>