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F302F5" w:rsidRDefault="00F302F5" w:rsidP="00D73983">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5C6630" w:rsidRDefault="006738F7" w:rsidP="00DE6EFE">
      <w:pPr>
        <w:tabs>
          <w:tab w:val="left" w:pos="720"/>
        </w:tabs>
        <w:jc w:val="both"/>
        <w:rPr>
          <w:rFonts w:ascii="Garamond" w:hAnsi="Garamond"/>
          <w:b/>
          <w:bCs/>
          <w:sz w:val="24"/>
          <w:szCs w:val="24"/>
        </w:rPr>
      </w:pPr>
      <w:r w:rsidRPr="005C6630">
        <w:rPr>
          <w:rFonts w:ascii="Garamond" w:hAnsi="Garamond"/>
          <w:b/>
          <w:bCs/>
          <w:sz w:val="24"/>
          <w:szCs w:val="24"/>
        </w:rPr>
        <w:t>RDO</w:t>
      </w:r>
      <w:r w:rsidR="00377350" w:rsidRPr="005C6630">
        <w:rPr>
          <w:rFonts w:ascii="Garamond" w:hAnsi="Garamond"/>
          <w:b/>
          <w:bCs/>
          <w:sz w:val="24"/>
          <w:szCs w:val="24"/>
        </w:rPr>
        <w:t xml:space="preserve"> PER L’AFFIDAMENTO DELLA FORNITURA </w:t>
      </w:r>
      <w:r w:rsidR="003670E3" w:rsidRPr="005C6630">
        <w:rPr>
          <w:rFonts w:ascii="Garamond" w:hAnsi="Garamond"/>
          <w:b/>
          <w:bCs/>
          <w:sz w:val="24"/>
          <w:szCs w:val="24"/>
        </w:rPr>
        <w:t xml:space="preserve">ANNUA </w:t>
      </w:r>
      <w:r w:rsidR="00A0336E" w:rsidRPr="005C6630">
        <w:rPr>
          <w:rFonts w:ascii="Garamond" w:hAnsi="Garamond"/>
          <w:b/>
          <w:bCs/>
          <w:sz w:val="24"/>
          <w:szCs w:val="24"/>
        </w:rPr>
        <w:t>DEL</w:t>
      </w:r>
      <w:r w:rsidR="00EE6C41" w:rsidRPr="005C6630">
        <w:rPr>
          <w:rFonts w:ascii="Garamond" w:hAnsi="Garamond"/>
          <w:b/>
          <w:bCs/>
          <w:sz w:val="24"/>
          <w:szCs w:val="24"/>
        </w:rPr>
        <w:t xml:space="preserve"> PRINCIPIO ATTIVO NITROGLICERINA FIALE 5 MG. 1,5 </w:t>
      </w:r>
      <w:proofErr w:type="spellStart"/>
      <w:r w:rsidR="00EE6C41" w:rsidRPr="005C6630">
        <w:rPr>
          <w:rFonts w:ascii="Garamond" w:hAnsi="Garamond"/>
          <w:b/>
          <w:bCs/>
          <w:sz w:val="24"/>
          <w:szCs w:val="24"/>
        </w:rPr>
        <w:t>ML</w:t>
      </w:r>
      <w:proofErr w:type="spellEnd"/>
      <w:r w:rsidR="00EE6C41" w:rsidRPr="005C6630">
        <w:rPr>
          <w:rFonts w:ascii="Garamond" w:hAnsi="Garamond"/>
          <w:b/>
          <w:bCs/>
          <w:sz w:val="24"/>
          <w:szCs w:val="24"/>
        </w:rPr>
        <w:t xml:space="preserve">. </w:t>
      </w:r>
      <w:r w:rsidR="003670E3" w:rsidRPr="005C6630">
        <w:rPr>
          <w:rFonts w:ascii="Garamond" w:hAnsi="Garamond"/>
          <w:b/>
          <w:bCs/>
          <w:sz w:val="24"/>
          <w:szCs w:val="24"/>
        </w:rPr>
        <w:t xml:space="preserve"> </w:t>
      </w:r>
      <w:r w:rsidR="00F9052B" w:rsidRPr="005C6630">
        <w:rPr>
          <w:rFonts w:ascii="Garamond" w:hAnsi="Garamond"/>
          <w:b/>
          <w:bCs/>
          <w:sz w:val="24"/>
          <w:szCs w:val="24"/>
        </w:rPr>
        <w:t xml:space="preserve"> </w:t>
      </w:r>
      <w:r w:rsidR="002A41A5" w:rsidRPr="005C6630">
        <w:rPr>
          <w:rFonts w:ascii="Garamond" w:hAnsi="Garamond"/>
          <w:b/>
          <w:bCs/>
          <w:sz w:val="24"/>
          <w:szCs w:val="24"/>
        </w:rPr>
        <w:t>PER L’</w:t>
      </w:r>
      <w:proofErr w:type="spellStart"/>
      <w:r w:rsidR="002A41A5" w:rsidRPr="005C6630">
        <w:rPr>
          <w:rFonts w:ascii="Garamond" w:hAnsi="Garamond"/>
          <w:b/>
          <w:bCs/>
          <w:sz w:val="24"/>
          <w:szCs w:val="24"/>
        </w:rPr>
        <w:t>U.O.</w:t>
      </w:r>
      <w:r w:rsidR="00826206" w:rsidRPr="005C6630">
        <w:rPr>
          <w:rFonts w:ascii="Garamond" w:hAnsi="Garamond"/>
          <w:b/>
          <w:bCs/>
          <w:sz w:val="24"/>
          <w:szCs w:val="24"/>
        </w:rPr>
        <w:t>C.</w:t>
      </w:r>
      <w:proofErr w:type="spellEnd"/>
      <w:r w:rsidR="002A41A5" w:rsidRPr="005C6630">
        <w:rPr>
          <w:rFonts w:ascii="Garamond" w:hAnsi="Garamond"/>
          <w:b/>
          <w:bCs/>
          <w:sz w:val="24"/>
          <w:szCs w:val="24"/>
        </w:rPr>
        <w:t xml:space="preserve"> </w:t>
      </w:r>
      <w:proofErr w:type="spellStart"/>
      <w:r w:rsidR="002A41A5" w:rsidRPr="005C6630">
        <w:rPr>
          <w:rFonts w:ascii="Garamond" w:hAnsi="Garamond"/>
          <w:b/>
          <w:bCs/>
          <w:sz w:val="24"/>
          <w:szCs w:val="24"/>
        </w:rPr>
        <w:t>DI</w:t>
      </w:r>
      <w:proofErr w:type="spellEnd"/>
      <w:r w:rsidR="002A41A5" w:rsidRPr="005C6630">
        <w:rPr>
          <w:rFonts w:ascii="Garamond" w:hAnsi="Garamond"/>
          <w:b/>
          <w:bCs/>
          <w:sz w:val="24"/>
          <w:szCs w:val="24"/>
        </w:rPr>
        <w:t xml:space="preserve"> </w:t>
      </w:r>
      <w:r w:rsidR="00F9052B" w:rsidRPr="005C6630">
        <w:rPr>
          <w:rFonts w:ascii="Garamond" w:hAnsi="Garamond"/>
          <w:b/>
          <w:bCs/>
          <w:sz w:val="24"/>
          <w:szCs w:val="24"/>
        </w:rPr>
        <w:t xml:space="preserve">FARMACIA </w:t>
      </w:r>
      <w:r w:rsidR="002A41A5" w:rsidRPr="005C6630">
        <w:rPr>
          <w:rFonts w:ascii="Garamond" w:hAnsi="Garamond"/>
          <w:b/>
          <w:bCs/>
          <w:sz w:val="24"/>
          <w:szCs w:val="24"/>
        </w:rPr>
        <w:t xml:space="preserve"> – RDO N</w:t>
      </w:r>
      <w:r w:rsidR="00DE6EFE">
        <w:rPr>
          <w:rFonts w:ascii="Garamond" w:hAnsi="Garamond"/>
          <w:b/>
          <w:bCs/>
          <w:sz w:val="24"/>
          <w:szCs w:val="24"/>
        </w:rPr>
        <w:t xml:space="preserve">.1186819 DEL 19 </w:t>
      </w:r>
      <w:r w:rsidR="002D6831" w:rsidRPr="005C6630">
        <w:rPr>
          <w:rFonts w:ascii="Garamond" w:hAnsi="Garamond"/>
          <w:b/>
          <w:bCs/>
          <w:sz w:val="24"/>
          <w:szCs w:val="24"/>
        </w:rPr>
        <w:t>APRILE 2</w:t>
      </w:r>
      <w:r w:rsidR="00DE6EFE">
        <w:rPr>
          <w:rFonts w:ascii="Garamond" w:hAnsi="Garamond"/>
          <w:b/>
          <w:bCs/>
          <w:sz w:val="24"/>
          <w:szCs w:val="24"/>
        </w:rPr>
        <w:t>016</w:t>
      </w:r>
      <w:r w:rsidR="00EE6C41" w:rsidRPr="005C6630">
        <w:rPr>
          <w:rFonts w:ascii="Garamond" w:hAnsi="Garamond"/>
          <w:b/>
          <w:bCs/>
          <w:sz w:val="24"/>
          <w:szCs w:val="24"/>
        </w:rPr>
        <w:t xml:space="preserve"> – CODICE IDENTIFICATIVO GARA</w:t>
      </w:r>
      <w:r w:rsidR="002D6831" w:rsidRPr="005C6630">
        <w:rPr>
          <w:rFonts w:ascii="Garamond" w:hAnsi="Garamond"/>
          <w:b/>
          <w:bCs/>
          <w:sz w:val="24"/>
          <w:szCs w:val="24"/>
        </w:rPr>
        <w:t xml:space="preserve"> SMART </w:t>
      </w:r>
      <w:r w:rsidR="005C6630" w:rsidRPr="005C6630">
        <w:rPr>
          <w:rFonts w:ascii="Garamond" w:hAnsi="Garamond"/>
          <w:b/>
          <w:bCs/>
          <w:sz w:val="24"/>
          <w:szCs w:val="24"/>
        </w:rPr>
        <w:t>CIG.ZE41974C9D</w:t>
      </w:r>
      <w:r w:rsidR="002A41A5" w:rsidRPr="005C6630">
        <w:rPr>
          <w:rFonts w:ascii="Garamond" w:hAnsi="Garamond"/>
          <w:b/>
          <w:bCs/>
          <w:sz w:val="24"/>
          <w:szCs w:val="24"/>
        </w:rPr>
        <w:t xml:space="preserve"> </w:t>
      </w:r>
    </w:p>
    <w:p w:rsidR="00D73983" w:rsidRPr="005C663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w:t>
      </w:r>
      <w:r w:rsidRPr="00377350">
        <w:rPr>
          <w:rFonts w:ascii="Garamond" w:hAnsi="Garamond"/>
          <w:sz w:val="24"/>
          <w:szCs w:val="24"/>
        </w:rPr>
        <w:lastRenderedPageBreak/>
        <w:t xml:space="preserve">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sidR="005054AA">
        <w:rPr>
          <w:rFonts w:ascii="Garamond" w:hAnsi="Garamond"/>
          <w:sz w:val="24"/>
          <w:szCs w:val="24"/>
        </w:rPr>
        <w:t>rdo</w:t>
      </w:r>
      <w:proofErr w:type="spellEnd"/>
      <w:r w:rsidR="005054AA">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sidR="001F0F88">
        <w:rPr>
          <w:rFonts w:ascii="Garamond" w:hAnsi="Garamond"/>
          <w:sz w:val="24"/>
          <w:szCs w:val="24"/>
        </w:rPr>
        <w:t xml:space="preserve"> ed inviare in modalità telematica</w:t>
      </w:r>
      <w:r w:rsidRPr="00377350">
        <w:rPr>
          <w:rFonts w:ascii="Garamond" w:hAnsi="Garamond"/>
          <w:sz w:val="24"/>
          <w:szCs w:val="24"/>
        </w:rPr>
        <w:t>,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ha n. ………. lavoratori dipendenti assunti con contratto di lavoro del settore ………………………………………………………..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00D73983" w:rsidRPr="00377350">
          <w:rPr>
            <w:rFonts w:ascii="Garamond" w:hAnsi="Garamond"/>
            <w:bCs/>
            <w:sz w:val="24"/>
            <w:szCs w:val="24"/>
          </w:rPr>
          <w:t>la Camera</w:t>
        </w:r>
      </w:smartTag>
      <w:r w:rsidR="00D73983" w:rsidRPr="00377350">
        <w:rPr>
          <w:rFonts w:ascii="Garamond" w:hAnsi="Garamond"/>
          <w:bCs/>
          <w:sz w:val="24"/>
          <w:szCs w:val="24"/>
        </w:rPr>
        <w:t xml:space="preserve"> di Commercio medesima, sono:</w:t>
      </w: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a)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b)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1e) di essersi recato</w:t>
      </w:r>
      <w:r w:rsidR="001F0F88">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sidR="005054AA">
        <w:rPr>
          <w:rFonts w:ascii="Garamond" w:hAnsi="Garamond"/>
          <w:sz w:val="24"/>
          <w:szCs w:val="24"/>
        </w:rPr>
        <w:t>rdo</w:t>
      </w:r>
      <w:proofErr w:type="spellEnd"/>
      <w:r w:rsidR="005054AA">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sidR="005054AA">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27523B" w:rsidP="00D73983">
      <w:pPr>
        <w:jc w:val="both"/>
        <w:rPr>
          <w:rFonts w:ascii="Garamond" w:hAnsi="Garamond"/>
          <w:sz w:val="24"/>
          <w:szCs w:val="24"/>
        </w:rPr>
      </w:pPr>
      <w:r>
        <w:rPr>
          <w:rFonts w:ascii="Garamond" w:hAnsi="Garamond"/>
          <w:sz w:val="24"/>
          <w:szCs w:val="24"/>
        </w:rPr>
        <w:t>2</w:t>
      </w:r>
      <w:r w:rsidR="00D73983" w:rsidRPr="00377350">
        <w:rPr>
          <w:rFonts w:ascii="Garamond" w:hAnsi="Garamond"/>
          <w:sz w:val="24"/>
          <w:szCs w:val="24"/>
        </w:rPr>
        <w:t>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w:t>
      </w:r>
      <w:r w:rsidR="005054AA">
        <w:rPr>
          <w:rFonts w:ascii="Garamond" w:hAnsi="Garamond"/>
          <w:sz w:val="24"/>
          <w:szCs w:val="24"/>
        </w:rPr>
        <w:t xml:space="preserve">/forniture, identici a quelli oggetto della presente </w:t>
      </w:r>
      <w:proofErr w:type="spellStart"/>
      <w:r w:rsidR="005054AA">
        <w:rPr>
          <w:rFonts w:ascii="Garamond" w:hAnsi="Garamond"/>
          <w:sz w:val="24"/>
          <w:szCs w:val="24"/>
        </w:rPr>
        <w:t>rdo</w:t>
      </w:r>
      <w:proofErr w:type="spellEnd"/>
      <w:r w:rsidR="005054AA">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sidR="0027523B">
        <w:rPr>
          <w:rFonts w:ascii="Garamond" w:hAnsi="Garamond"/>
          <w:sz w:val="24"/>
          <w:szCs w:val="24"/>
        </w:rPr>
        <w:t xml:space="preserve"> (da inviare con modalità telematica</w:t>
      </w:r>
      <w:r w:rsidR="002B072C">
        <w:rPr>
          <w:rFonts w:ascii="Garamond" w:hAnsi="Garamond"/>
          <w:sz w:val="24"/>
          <w:szCs w:val="24"/>
        </w:rPr>
        <w:t xml:space="preserve"> in allegato al presente “Allegato B”</w:t>
      </w:r>
      <w:r w:rsidR="0027523B">
        <w:rPr>
          <w:rFonts w:ascii="Garamond" w:hAnsi="Garamond"/>
          <w:sz w:val="24"/>
          <w:szCs w:val="24"/>
        </w:rPr>
        <w:t>)</w:t>
      </w:r>
      <w:r w:rsidR="005054AA">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B072C" w:rsidRDefault="002B072C"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Località e data ………………………………….</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83" w:rsidRDefault="00704983" w:rsidP="00A85069">
      <w:r>
        <w:separator/>
      </w:r>
    </w:p>
  </w:endnote>
  <w:endnote w:type="continuationSeparator" w:id="0">
    <w:p w:rsidR="00704983" w:rsidRDefault="00704983"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E7515B">
    <w:pPr>
      <w:pStyle w:val="Pidipagina"/>
      <w:jc w:val="center"/>
    </w:pPr>
    <w:fldSimple w:instr=" PAGE   \* MERGEFORMAT ">
      <w:r w:rsidR="00DE6EFE">
        <w:rPr>
          <w:noProof/>
        </w:rPr>
        <w:t>1</w:t>
      </w:r>
    </w:fldSimple>
  </w:p>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83" w:rsidRDefault="00704983" w:rsidP="00A85069">
      <w:r>
        <w:separator/>
      </w:r>
    </w:p>
  </w:footnote>
  <w:footnote w:type="continuationSeparator" w:id="0">
    <w:p w:rsidR="00704983" w:rsidRDefault="00704983"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D73983"/>
    <w:rsid w:val="00054619"/>
    <w:rsid w:val="00076426"/>
    <w:rsid w:val="0009364D"/>
    <w:rsid w:val="000C79B8"/>
    <w:rsid w:val="000F2A1C"/>
    <w:rsid w:val="001211FB"/>
    <w:rsid w:val="001904EB"/>
    <w:rsid w:val="00190DE6"/>
    <w:rsid w:val="001B75AF"/>
    <w:rsid w:val="001D1C9D"/>
    <w:rsid w:val="001F0F88"/>
    <w:rsid w:val="00215A3C"/>
    <w:rsid w:val="00270C69"/>
    <w:rsid w:val="0027523B"/>
    <w:rsid w:val="002A41A5"/>
    <w:rsid w:val="002B072C"/>
    <w:rsid w:val="002D6831"/>
    <w:rsid w:val="003128C6"/>
    <w:rsid w:val="003670E3"/>
    <w:rsid w:val="00377350"/>
    <w:rsid w:val="003804FA"/>
    <w:rsid w:val="003B7476"/>
    <w:rsid w:val="003D7AF2"/>
    <w:rsid w:val="00486D10"/>
    <w:rsid w:val="004A440D"/>
    <w:rsid w:val="004D46CF"/>
    <w:rsid w:val="004E6D7B"/>
    <w:rsid w:val="005054AA"/>
    <w:rsid w:val="00516AD8"/>
    <w:rsid w:val="0057070C"/>
    <w:rsid w:val="00581E41"/>
    <w:rsid w:val="005C4661"/>
    <w:rsid w:val="005C6630"/>
    <w:rsid w:val="005E6F6F"/>
    <w:rsid w:val="0064328E"/>
    <w:rsid w:val="006738F7"/>
    <w:rsid w:val="006A0BBD"/>
    <w:rsid w:val="006E24A5"/>
    <w:rsid w:val="006E3204"/>
    <w:rsid w:val="00702276"/>
    <w:rsid w:val="00704983"/>
    <w:rsid w:val="00706093"/>
    <w:rsid w:val="007963A8"/>
    <w:rsid w:val="007B0184"/>
    <w:rsid w:val="007C6687"/>
    <w:rsid w:val="007C6BF0"/>
    <w:rsid w:val="007E4E18"/>
    <w:rsid w:val="00826206"/>
    <w:rsid w:val="0087270A"/>
    <w:rsid w:val="008A3A73"/>
    <w:rsid w:val="008B70BD"/>
    <w:rsid w:val="008C629B"/>
    <w:rsid w:val="00941FEC"/>
    <w:rsid w:val="009C0671"/>
    <w:rsid w:val="009D73B8"/>
    <w:rsid w:val="00A0336E"/>
    <w:rsid w:val="00A06F2F"/>
    <w:rsid w:val="00A85069"/>
    <w:rsid w:val="00AE4575"/>
    <w:rsid w:val="00AF237F"/>
    <w:rsid w:val="00B45313"/>
    <w:rsid w:val="00BE3D95"/>
    <w:rsid w:val="00D44C49"/>
    <w:rsid w:val="00D6133A"/>
    <w:rsid w:val="00D73983"/>
    <w:rsid w:val="00DE6EFE"/>
    <w:rsid w:val="00DE7B00"/>
    <w:rsid w:val="00E55993"/>
    <w:rsid w:val="00E62F1D"/>
    <w:rsid w:val="00E7515B"/>
    <w:rsid w:val="00EA6D43"/>
    <w:rsid w:val="00EB6A2D"/>
    <w:rsid w:val="00EB7268"/>
    <w:rsid w:val="00EE5A07"/>
    <w:rsid w:val="00EE6C41"/>
    <w:rsid w:val="00F02A27"/>
    <w:rsid w:val="00F270BB"/>
    <w:rsid w:val="00F302F5"/>
    <w:rsid w:val="00F474D1"/>
    <w:rsid w:val="00F905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3165</Words>
  <Characters>18044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msanfilippo</dc:creator>
  <cp:lastModifiedBy> </cp:lastModifiedBy>
  <cp:revision>14</cp:revision>
  <dcterms:created xsi:type="dcterms:W3CDTF">2014-10-14T07:17:00Z</dcterms:created>
  <dcterms:modified xsi:type="dcterms:W3CDTF">2016-04-19T13:00:00Z</dcterms:modified>
</cp:coreProperties>
</file>